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numPr>
          <w:numId w:val="0"/>
        </w:numPr>
        <w:tabs>
          <w:tab w:val="left" w:pos="363"/>
        </w:tabs>
        <w:spacing w:after="0" w:line="240" w:lineRule="auto"/>
        <w:rPr>
          <w:rFonts w:hint="eastAsia" w:eastAsia="宋体"/>
          <w:b/>
          <w:bCs/>
          <w:lang w:eastAsia="zh-CN"/>
        </w:rPr>
      </w:pPr>
      <w:r>
        <w:rPr>
          <w:rFonts w:hint="eastAsia" w:eastAsia="宋体"/>
          <w:b/>
          <w:bCs/>
          <w:lang w:eastAsia="zh-CN"/>
        </w:rPr>
        <w:drawing>
          <wp:inline distT="0" distB="0" distL="114300" distR="114300">
            <wp:extent cx="5726430" cy="5726430"/>
            <wp:effectExtent l="0" t="0" r="7620" b="7620"/>
            <wp:docPr id="2" name="图片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1"/>
                    <pic:cNvPicPr>
                      <a:picLocks noChangeAspect="1"/>
                    </pic:cNvPicPr>
                  </pic:nvPicPr>
                  <pic:blipFill>
                    <a:blip r:embed="rId6"/>
                    <a:stretch>
                      <a:fillRect/>
                    </a:stretch>
                  </pic:blipFill>
                  <pic:spPr>
                    <a:xfrm>
                      <a:off x="0" y="0"/>
                      <a:ext cx="5726430" cy="5726430"/>
                    </a:xfrm>
                    <a:prstGeom prst="rect">
                      <a:avLst/>
                    </a:prstGeom>
                  </pic:spPr>
                </pic:pic>
              </a:graphicData>
            </a:graphic>
          </wp:inline>
        </w:drawing>
      </w:r>
      <w:bookmarkStart w:id="71" w:name="_GoBack"/>
      <w:bookmarkEnd w:id="71"/>
    </w:p>
    <w:p>
      <w:pPr>
        <w:pStyle w:val="9"/>
        <w:numPr>
          <w:ilvl w:val="0"/>
          <w:numId w:val="1"/>
        </w:numPr>
        <w:tabs>
          <w:tab w:val="left" w:pos="363"/>
        </w:tabs>
        <w:spacing w:after="0" w:line="240" w:lineRule="auto"/>
        <w:rPr>
          <w:b/>
          <w:bCs/>
        </w:rPr>
      </w:pPr>
      <w:r>
        <w:rPr>
          <w:b/>
          <w:bCs/>
        </w:rPr>
        <w:t>MCQ-14828</w:t>
      </w:r>
    </w:p>
    <w:p>
      <w:pPr>
        <w:pStyle w:val="9"/>
        <w:spacing w:after="100" w:line="262" w:lineRule="auto"/>
      </w:pPr>
      <w:r>
        <w:t>A nongovernmental not-for-profit organization may report on which of the following basis and remain in compliance with generally accepted accounting principles (GAAP)?</w:t>
      </w:r>
    </w:p>
    <w:p>
      <w:pPr>
        <w:pStyle w:val="9"/>
        <w:numPr>
          <w:ilvl w:val="0"/>
          <w:numId w:val="2"/>
        </w:numPr>
        <w:tabs>
          <w:tab w:val="left" w:pos="595"/>
        </w:tabs>
        <w:spacing w:after="100" w:line="262" w:lineRule="auto"/>
      </w:pPr>
      <w:bookmarkStart w:id="0" w:name="bookmark1"/>
      <w:bookmarkEnd w:id="0"/>
      <w:r>
        <w:t>Cash</w:t>
      </w:r>
    </w:p>
    <w:p>
      <w:pPr>
        <w:pStyle w:val="9"/>
        <w:numPr>
          <w:ilvl w:val="0"/>
          <w:numId w:val="2"/>
        </w:numPr>
        <w:tabs>
          <w:tab w:val="left" w:pos="595"/>
        </w:tabs>
        <w:spacing w:after="100" w:line="262" w:lineRule="auto"/>
      </w:pPr>
      <w:bookmarkStart w:id="1" w:name="bookmark2"/>
      <w:bookmarkEnd w:id="1"/>
      <w:r>
        <w:t>Accrual</w:t>
      </w:r>
    </w:p>
    <w:p>
      <w:pPr>
        <w:pStyle w:val="9"/>
        <w:numPr>
          <w:ilvl w:val="0"/>
          <w:numId w:val="2"/>
        </w:numPr>
        <w:tabs>
          <w:tab w:val="left" w:pos="595"/>
        </w:tabs>
        <w:spacing w:after="100" w:line="262" w:lineRule="auto"/>
      </w:pPr>
      <w:bookmarkStart w:id="2" w:name="bookmark3"/>
      <w:bookmarkEnd w:id="2"/>
      <w:r>
        <w:t>Modified cash</w:t>
      </w:r>
    </w:p>
    <w:p>
      <w:pPr>
        <w:pStyle w:val="9"/>
        <w:numPr>
          <w:ilvl w:val="0"/>
          <w:numId w:val="2"/>
        </w:numPr>
        <w:tabs>
          <w:tab w:val="left" w:pos="595"/>
        </w:tabs>
        <w:spacing w:after="100" w:line="262" w:lineRule="auto"/>
        <w:jc w:val="both"/>
      </w:pPr>
      <w:bookmarkStart w:id="3" w:name="bookmark4"/>
      <w:bookmarkEnd w:id="3"/>
      <w:r>
        <w:t>Modified accrual</w:t>
      </w:r>
    </w:p>
    <w:p>
      <w:pPr>
        <w:pStyle w:val="9"/>
        <w:spacing w:line="233" w:lineRule="auto"/>
      </w:pPr>
      <w:r>
        <w:rPr>
          <w:b/>
          <w:bCs/>
        </w:rPr>
        <w:t>ANSWER:</w:t>
      </w:r>
    </w:p>
    <w:p>
      <w:pPr>
        <w:pStyle w:val="9"/>
        <w:spacing w:line="233" w:lineRule="auto"/>
      </w:pPr>
      <w:r>
        <w:t xml:space="preserve">Choice "B" is correct. According to Generally accepted accounting principle, the not-for-profit organizations are required to use accrual basis of accounting. </w:t>
      </w:r>
    </w:p>
    <w:p>
      <w:pPr>
        <w:pStyle w:val="9"/>
      </w:pPr>
      <w:r>
        <w:t xml:space="preserve">Choice "A" is incorrect. Cash basis of accounting only presents the activity of the organization based solely on cash receipts and disbursements. The cash basis is not GAAP for not-for-profit reporting. </w:t>
      </w:r>
    </w:p>
    <w:p>
      <w:pPr>
        <w:pStyle w:val="9"/>
      </w:pPr>
      <w:r>
        <w:t>Choice "C" and “D” are incorrect. Modified cash basis of accounting and modified accrual basis combines elements of cash basis and accrual accounting. Certain transactions are reported on an accrual basis and others on a cash basis. Both methods are not GAAP for not-for-profit reporting.</w:t>
      </w: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numPr>
          <w:ilvl w:val="0"/>
          <w:numId w:val="1"/>
        </w:numPr>
        <w:tabs>
          <w:tab w:val="left" w:pos="368"/>
        </w:tabs>
        <w:spacing w:before="1600" w:after="0" w:line="262" w:lineRule="auto"/>
        <w:rPr>
          <w:b/>
          <w:bCs/>
        </w:rPr>
      </w:pPr>
      <w:bookmarkStart w:id="4" w:name="bookmark5"/>
      <w:bookmarkEnd w:id="4"/>
      <w:r>
        <w:rPr>
          <w:b/>
          <w:bCs/>
        </w:rPr>
        <w:t>MCQ-14829</w:t>
      </w:r>
    </w:p>
    <w:p>
      <w:pPr>
        <w:pStyle w:val="9"/>
        <w:spacing w:after="140" w:line="228" w:lineRule="auto"/>
      </w:pPr>
      <w:r>
        <w:t>LLA Inc. was capitalized through the issuance of 10,000 shares of $30 par common stock that was sold at $50 per share. LLA had net income as follows:</w:t>
      </w:r>
    </w:p>
    <w:tbl>
      <w:tblPr>
        <w:tblStyle w:val="5"/>
        <w:tblW w:w="0" w:type="auto"/>
        <w:tblInd w:w="0" w:type="dxa"/>
        <w:tblLayout w:type="fixed"/>
        <w:tblCellMar>
          <w:top w:w="0" w:type="dxa"/>
          <w:left w:w="10" w:type="dxa"/>
          <w:bottom w:w="0" w:type="dxa"/>
          <w:right w:w="10" w:type="dxa"/>
        </w:tblCellMar>
      </w:tblPr>
      <w:tblGrid>
        <w:gridCol w:w="552"/>
        <w:gridCol w:w="3216"/>
        <w:gridCol w:w="5412"/>
      </w:tblGrid>
      <w:tr>
        <w:tblPrEx>
          <w:tblCellMar>
            <w:top w:w="0" w:type="dxa"/>
            <w:left w:w="10" w:type="dxa"/>
            <w:bottom w:w="0" w:type="dxa"/>
            <w:right w:w="10" w:type="dxa"/>
          </w:tblCellMar>
        </w:tblPrEx>
        <w:trPr>
          <w:trHeight w:val="684" w:hRule="exact"/>
        </w:trPr>
        <w:tc>
          <w:tcPr>
            <w:tcW w:w="9180" w:type="dxa"/>
            <w:gridSpan w:val="3"/>
            <w:shd w:val="clear" w:color="auto" w:fill="FFFFFF"/>
          </w:tcPr>
          <w:p>
            <w:pPr>
              <w:pStyle w:val="11"/>
              <w:tabs>
                <w:tab w:val="left" w:pos="2600"/>
              </w:tabs>
              <w:ind w:firstLine="740"/>
            </w:pPr>
            <w:r>
              <w:t>Year 1</w:t>
            </w:r>
            <w:r>
              <w:tab/>
            </w:r>
            <w:r>
              <w:t>$100,000</w:t>
            </w:r>
          </w:p>
          <w:p>
            <w:pPr>
              <w:pStyle w:val="11"/>
              <w:tabs>
                <w:tab w:val="left" w:pos="2780"/>
              </w:tabs>
              <w:spacing w:after="0"/>
              <w:ind w:firstLine="740"/>
            </w:pPr>
            <w:r>
              <w:t>Year 2</w:t>
            </w:r>
            <w:r>
              <w:tab/>
            </w:r>
            <w:r>
              <w:t>200,000</w:t>
            </w:r>
          </w:p>
        </w:tc>
      </w:tr>
      <w:tr>
        <w:tblPrEx>
          <w:tblCellMar>
            <w:top w:w="0" w:type="dxa"/>
            <w:left w:w="10" w:type="dxa"/>
            <w:bottom w:w="0" w:type="dxa"/>
            <w:right w:w="10" w:type="dxa"/>
          </w:tblCellMar>
        </w:tblPrEx>
        <w:trPr>
          <w:trHeight w:val="312" w:hRule="exact"/>
        </w:trPr>
        <w:tc>
          <w:tcPr>
            <w:tcW w:w="9180" w:type="dxa"/>
            <w:gridSpan w:val="3"/>
            <w:shd w:val="clear" w:color="auto" w:fill="FFFFFF"/>
            <w:vAlign w:val="bottom"/>
          </w:tcPr>
          <w:p>
            <w:pPr>
              <w:pStyle w:val="11"/>
              <w:spacing w:after="0"/>
            </w:pPr>
            <w:r>
              <w:t>If, during Year 2. LLA paid dividends to its shareholders at $25 per share, what amount was LLA's</w:t>
            </w:r>
          </w:p>
        </w:tc>
      </w:tr>
      <w:tr>
        <w:tblPrEx>
          <w:tblCellMar>
            <w:top w:w="0" w:type="dxa"/>
            <w:left w:w="10" w:type="dxa"/>
            <w:bottom w:w="0" w:type="dxa"/>
            <w:right w:w="10" w:type="dxa"/>
          </w:tblCellMar>
        </w:tblPrEx>
        <w:trPr>
          <w:trHeight w:val="300" w:hRule="exact"/>
        </w:trPr>
        <w:tc>
          <w:tcPr>
            <w:tcW w:w="9180" w:type="dxa"/>
            <w:gridSpan w:val="3"/>
            <w:shd w:val="clear" w:color="auto" w:fill="FFFFFF"/>
          </w:tcPr>
          <w:p>
            <w:pPr>
              <w:pStyle w:val="11"/>
              <w:spacing w:after="0"/>
            </w:pPr>
            <w:r>
              <w:t>retained earnings balance and shareholders' equity balance at the end of Year 2?</w:t>
            </w:r>
          </w:p>
        </w:tc>
      </w:tr>
      <w:tr>
        <w:tblPrEx>
          <w:tblCellMar>
            <w:top w:w="0" w:type="dxa"/>
            <w:left w:w="10" w:type="dxa"/>
            <w:bottom w:w="0" w:type="dxa"/>
            <w:right w:w="10" w:type="dxa"/>
          </w:tblCellMar>
        </w:tblPrEx>
        <w:trPr>
          <w:trHeight w:val="372" w:hRule="exact"/>
        </w:trPr>
        <w:tc>
          <w:tcPr>
            <w:tcW w:w="552" w:type="dxa"/>
            <w:shd w:val="clear" w:color="auto" w:fill="FFFFFF"/>
          </w:tcPr>
          <w:p>
            <w:pPr>
              <w:rPr>
                <w:sz w:val="10"/>
                <w:szCs w:val="10"/>
              </w:rPr>
            </w:pPr>
          </w:p>
        </w:tc>
        <w:tc>
          <w:tcPr>
            <w:tcW w:w="3216" w:type="dxa"/>
            <w:shd w:val="clear" w:color="auto" w:fill="FFFFFF"/>
          </w:tcPr>
          <w:p>
            <w:pPr>
              <w:pStyle w:val="11"/>
              <w:spacing w:after="0"/>
              <w:ind w:firstLine="640"/>
              <w:rPr>
                <w:sz w:val="24"/>
                <w:szCs w:val="24"/>
              </w:rPr>
            </w:pPr>
            <w:r>
              <w:rPr>
                <w:i/>
                <w:iCs/>
                <w:sz w:val="24"/>
                <w:szCs w:val="24"/>
                <w:u w:val="single"/>
              </w:rPr>
              <w:t>Retained earnings</w:t>
            </w:r>
          </w:p>
        </w:tc>
        <w:tc>
          <w:tcPr>
            <w:tcW w:w="5412" w:type="dxa"/>
            <w:shd w:val="clear" w:color="auto" w:fill="FFFFFF"/>
          </w:tcPr>
          <w:p>
            <w:pPr>
              <w:pStyle w:val="11"/>
              <w:spacing w:after="0"/>
              <w:ind w:firstLine="140"/>
              <w:rPr>
                <w:sz w:val="24"/>
                <w:szCs w:val="24"/>
              </w:rPr>
            </w:pPr>
            <w:r>
              <w:rPr>
                <w:i/>
                <w:iCs/>
                <w:sz w:val="24"/>
                <w:szCs w:val="24"/>
                <w:u w:val="single"/>
              </w:rPr>
              <w:t>Shareholders</w:t>
            </w:r>
            <w:r>
              <w:rPr>
                <w:i/>
                <w:iCs/>
                <w:sz w:val="24"/>
                <w:szCs w:val="24"/>
              </w:rPr>
              <w:t xml:space="preserve">' </w:t>
            </w:r>
            <w:r>
              <w:rPr>
                <w:i/>
                <w:iCs/>
                <w:sz w:val="24"/>
                <w:szCs w:val="24"/>
                <w:u w:val="single"/>
              </w:rPr>
              <w:t>equity</w:t>
            </w:r>
          </w:p>
        </w:tc>
      </w:tr>
      <w:tr>
        <w:tblPrEx>
          <w:tblCellMar>
            <w:top w:w="0" w:type="dxa"/>
            <w:left w:w="10" w:type="dxa"/>
            <w:bottom w:w="0" w:type="dxa"/>
            <w:right w:w="10" w:type="dxa"/>
          </w:tblCellMar>
        </w:tblPrEx>
        <w:trPr>
          <w:trHeight w:val="360" w:hRule="exact"/>
        </w:trPr>
        <w:tc>
          <w:tcPr>
            <w:tcW w:w="552" w:type="dxa"/>
            <w:shd w:val="clear" w:color="auto" w:fill="FFFFFF"/>
          </w:tcPr>
          <w:p>
            <w:pPr>
              <w:pStyle w:val="11"/>
              <w:spacing w:after="0"/>
            </w:pPr>
            <w:r>
              <w:t>A.</w:t>
            </w:r>
          </w:p>
        </w:tc>
        <w:tc>
          <w:tcPr>
            <w:tcW w:w="3216" w:type="dxa"/>
            <w:shd w:val="clear" w:color="auto" w:fill="FFFFFF"/>
          </w:tcPr>
          <w:p>
            <w:pPr>
              <w:pStyle w:val="11"/>
              <w:spacing w:after="0"/>
              <w:jc w:val="center"/>
            </w:pPr>
            <w:r>
              <w:t>$50,000</w:t>
            </w:r>
          </w:p>
        </w:tc>
        <w:tc>
          <w:tcPr>
            <w:tcW w:w="5412" w:type="dxa"/>
            <w:shd w:val="clear" w:color="auto" w:fill="FFFFFF"/>
          </w:tcPr>
          <w:p>
            <w:pPr>
              <w:pStyle w:val="11"/>
              <w:spacing w:after="0"/>
              <w:ind w:firstLine="640"/>
              <w:jc w:val="both"/>
            </w:pPr>
            <w:r>
              <w:t>$550,000</w:t>
            </w:r>
          </w:p>
        </w:tc>
      </w:tr>
      <w:tr>
        <w:tblPrEx>
          <w:tblCellMar>
            <w:top w:w="0" w:type="dxa"/>
            <w:left w:w="10" w:type="dxa"/>
            <w:bottom w:w="0" w:type="dxa"/>
            <w:right w:w="10" w:type="dxa"/>
          </w:tblCellMar>
        </w:tblPrEx>
        <w:trPr>
          <w:trHeight w:val="372" w:hRule="exact"/>
        </w:trPr>
        <w:tc>
          <w:tcPr>
            <w:tcW w:w="552" w:type="dxa"/>
            <w:shd w:val="clear" w:color="auto" w:fill="FFFFFF"/>
          </w:tcPr>
          <w:p>
            <w:pPr>
              <w:pStyle w:val="11"/>
              <w:spacing w:after="0"/>
            </w:pPr>
            <w:r>
              <w:t>B.</w:t>
            </w:r>
          </w:p>
        </w:tc>
        <w:tc>
          <w:tcPr>
            <w:tcW w:w="3216" w:type="dxa"/>
            <w:shd w:val="clear" w:color="auto" w:fill="FFFFFF"/>
          </w:tcPr>
          <w:p>
            <w:pPr>
              <w:pStyle w:val="11"/>
              <w:spacing w:after="0"/>
              <w:jc w:val="center"/>
            </w:pPr>
            <w:r>
              <w:t>$50,000</w:t>
            </w:r>
          </w:p>
        </w:tc>
        <w:tc>
          <w:tcPr>
            <w:tcW w:w="5412" w:type="dxa"/>
            <w:shd w:val="clear" w:color="auto" w:fill="FFFFFF"/>
          </w:tcPr>
          <w:p>
            <w:pPr>
              <w:pStyle w:val="11"/>
              <w:spacing w:after="0"/>
              <w:ind w:firstLine="640"/>
              <w:jc w:val="both"/>
            </w:pPr>
            <w:r>
              <w:t>$800,000</w:t>
            </w:r>
          </w:p>
        </w:tc>
      </w:tr>
      <w:tr>
        <w:tblPrEx>
          <w:tblCellMar>
            <w:top w:w="0" w:type="dxa"/>
            <w:left w:w="10" w:type="dxa"/>
            <w:bottom w:w="0" w:type="dxa"/>
            <w:right w:w="10" w:type="dxa"/>
          </w:tblCellMar>
        </w:tblPrEx>
        <w:trPr>
          <w:trHeight w:val="360" w:hRule="exact"/>
        </w:trPr>
        <w:tc>
          <w:tcPr>
            <w:tcW w:w="552" w:type="dxa"/>
            <w:shd w:val="clear" w:color="auto" w:fill="FFFFFF"/>
          </w:tcPr>
          <w:p>
            <w:pPr>
              <w:pStyle w:val="11"/>
              <w:spacing w:after="0"/>
            </w:pPr>
            <w:r>
              <w:t>C.</w:t>
            </w:r>
          </w:p>
        </w:tc>
        <w:tc>
          <w:tcPr>
            <w:tcW w:w="3216" w:type="dxa"/>
            <w:shd w:val="clear" w:color="auto" w:fill="FFFFFF"/>
          </w:tcPr>
          <w:p>
            <w:pPr>
              <w:pStyle w:val="11"/>
              <w:spacing w:after="0"/>
              <w:ind w:left="1060"/>
            </w:pPr>
            <w:r>
              <w:t>S300.000</w:t>
            </w:r>
          </w:p>
        </w:tc>
        <w:tc>
          <w:tcPr>
            <w:tcW w:w="5412" w:type="dxa"/>
            <w:shd w:val="clear" w:color="auto" w:fill="FFFFFF"/>
          </w:tcPr>
          <w:p>
            <w:pPr>
              <w:pStyle w:val="11"/>
              <w:spacing w:after="0"/>
              <w:ind w:firstLine="640"/>
              <w:jc w:val="both"/>
            </w:pPr>
            <w:r>
              <w:t>$550,000</w:t>
            </w:r>
          </w:p>
        </w:tc>
      </w:tr>
      <w:tr>
        <w:tblPrEx>
          <w:tblCellMar>
            <w:top w:w="0" w:type="dxa"/>
            <w:left w:w="10" w:type="dxa"/>
            <w:bottom w:w="0" w:type="dxa"/>
            <w:right w:w="10" w:type="dxa"/>
          </w:tblCellMar>
        </w:tblPrEx>
        <w:trPr>
          <w:trHeight w:val="324" w:hRule="exact"/>
        </w:trPr>
        <w:tc>
          <w:tcPr>
            <w:tcW w:w="552" w:type="dxa"/>
            <w:shd w:val="clear" w:color="auto" w:fill="FFFFFF"/>
            <w:vAlign w:val="bottom"/>
          </w:tcPr>
          <w:p>
            <w:pPr>
              <w:pStyle w:val="11"/>
              <w:spacing w:after="0"/>
            </w:pPr>
            <w:r>
              <w:t>D.</w:t>
            </w:r>
          </w:p>
        </w:tc>
        <w:tc>
          <w:tcPr>
            <w:tcW w:w="3216" w:type="dxa"/>
            <w:shd w:val="clear" w:color="auto" w:fill="FFFFFF"/>
            <w:vAlign w:val="bottom"/>
          </w:tcPr>
          <w:p>
            <w:pPr>
              <w:pStyle w:val="11"/>
              <w:spacing w:after="0"/>
              <w:ind w:left="1060"/>
            </w:pPr>
            <w:r>
              <w:t>S300.000</w:t>
            </w:r>
          </w:p>
        </w:tc>
        <w:tc>
          <w:tcPr>
            <w:tcW w:w="5412" w:type="dxa"/>
            <w:shd w:val="clear" w:color="auto" w:fill="FFFFFF"/>
            <w:vAlign w:val="bottom"/>
          </w:tcPr>
          <w:p>
            <w:pPr>
              <w:pStyle w:val="11"/>
              <w:spacing w:after="0"/>
              <w:ind w:firstLine="640"/>
              <w:jc w:val="both"/>
            </w:pPr>
            <w:r>
              <w:t>$800,000</w:t>
            </w:r>
          </w:p>
        </w:tc>
      </w:tr>
    </w:tbl>
    <w:p>
      <w:pPr>
        <w:pStyle w:val="9"/>
        <w:spacing w:line="233" w:lineRule="auto"/>
      </w:pPr>
      <w:r>
        <w:rPr>
          <w:b/>
          <w:bCs/>
        </w:rPr>
        <w:t>ANSWER:</w:t>
      </w:r>
    </w:p>
    <w:p>
      <w:pPr>
        <w:pStyle w:val="9"/>
        <w:spacing w:line="233" w:lineRule="auto"/>
      </w:pPr>
      <w:r>
        <w:t>Choice "A" is correct. One approach to calculate shareholder’s equity is show as following equation:</w:t>
      </w:r>
    </w:p>
    <w:p>
      <w:pPr>
        <w:pStyle w:val="9"/>
        <w:spacing w:line="233" w:lineRule="auto"/>
      </w:pPr>
      <w:r>
        <w:t>Shareholder’s equity= Capital stocks + Additional paid in capital + Retained earnings – Treasury stock + Accumulated Other Comprehensive Income</w:t>
      </w:r>
    </w:p>
    <w:p>
      <w:pPr>
        <w:pStyle w:val="9"/>
        <w:spacing w:line="233" w:lineRule="auto"/>
      </w:pPr>
      <w:r>
        <w:t>Retained earnings at end of Year 2= Year 1 net income + Year 2 net income-dividends= $100,000+$200,000-$25 x10,000 shares= $50,000</w:t>
      </w:r>
    </w:p>
    <w:p>
      <w:pPr>
        <w:pStyle w:val="9"/>
        <w:spacing w:line="233" w:lineRule="auto"/>
      </w:pPr>
      <w:r>
        <w:t>Shareholder’s equity= Capital stocks 10,000 shares x $30 + Additional paid in capital 10,000 shares x ($50-$30) + Retained earnings $50,000– Treasury stocks (irrelevant to this question) + Accumulated Other Comprehensive Income (irrelevant to this question) =$550,000</w:t>
      </w:r>
    </w:p>
    <w:p>
      <w:pPr>
        <w:pStyle w:val="9"/>
        <w:spacing w:line="233" w:lineRule="auto"/>
      </w:pPr>
      <w:r>
        <w:t>According to above calculation, at end of Year 2, LLA’s retained earnings and shareholder’s equity equal to $50,000 and $550,000 respectively.</w:t>
      </w:r>
    </w:p>
    <w:p>
      <w:pPr>
        <w:pStyle w:val="9"/>
        <w:spacing w:line="233" w:lineRule="auto"/>
      </w:pPr>
    </w:p>
    <w:p>
      <w:pPr>
        <w:pStyle w:val="9"/>
        <w:spacing w:line="233" w:lineRule="auto"/>
      </w:pPr>
    </w:p>
    <w:p>
      <w:pPr>
        <w:pStyle w:val="9"/>
        <w:spacing w:line="233" w:lineRule="auto"/>
      </w:pPr>
    </w:p>
    <w:p>
      <w:pPr>
        <w:pStyle w:val="9"/>
        <w:spacing w:line="233" w:lineRule="auto"/>
      </w:pPr>
    </w:p>
    <w:p>
      <w:pPr>
        <w:pStyle w:val="9"/>
        <w:spacing w:line="233" w:lineRule="auto"/>
      </w:pPr>
    </w:p>
    <w:p>
      <w:pPr>
        <w:pStyle w:val="9"/>
        <w:spacing w:line="233" w:lineRule="auto"/>
      </w:pPr>
    </w:p>
    <w:p>
      <w:pPr>
        <w:pStyle w:val="9"/>
        <w:spacing w:line="233" w:lineRule="auto"/>
      </w:pPr>
    </w:p>
    <w:p>
      <w:pPr>
        <w:pStyle w:val="9"/>
        <w:spacing w:line="233" w:lineRule="auto"/>
      </w:pPr>
    </w:p>
    <w:p>
      <w:pPr>
        <w:pStyle w:val="9"/>
        <w:spacing w:line="233" w:lineRule="auto"/>
      </w:pPr>
    </w:p>
    <w:p>
      <w:pPr>
        <w:pStyle w:val="9"/>
        <w:spacing w:line="233" w:lineRule="auto"/>
      </w:pPr>
    </w:p>
    <w:p>
      <w:pPr>
        <w:pStyle w:val="9"/>
        <w:spacing w:line="233" w:lineRule="auto"/>
      </w:pPr>
    </w:p>
    <w:p>
      <w:pPr>
        <w:pStyle w:val="9"/>
        <w:spacing w:line="233" w:lineRule="auto"/>
      </w:pPr>
    </w:p>
    <w:p>
      <w:pPr>
        <w:pStyle w:val="9"/>
        <w:tabs>
          <w:tab w:val="left" w:pos="368"/>
        </w:tabs>
        <w:spacing w:before="1600" w:after="0" w:line="262" w:lineRule="auto"/>
        <w:rPr>
          <w:b/>
          <w:bCs/>
        </w:rPr>
      </w:pPr>
      <w:bookmarkStart w:id="5" w:name="bookmark6"/>
      <w:bookmarkEnd w:id="5"/>
      <w:bookmarkStart w:id="6" w:name="bookmark7"/>
      <w:bookmarkEnd w:id="6"/>
      <w:bookmarkStart w:id="7" w:name="bookmark8"/>
      <w:bookmarkEnd w:id="7"/>
      <w:bookmarkStart w:id="8" w:name="bookmark9"/>
      <w:bookmarkEnd w:id="8"/>
    </w:p>
    <w:p>
      <w:pPr>
        <w:pStyle w:val="9"/>
        <w:numPr>
          <w:ilvl w:val="0"/>
          <w:numId w:val="1"/>
        </w:numPr>
        <w:tabs>
          <w:tab w:val="left" w:pos="368"/>
        </w:tabs>
        <w:spacing w:before="1600" w:after="0" w:line="262" w:lineRule="auto"/>
        <w:rPr>
          <w:b/>
          <w:bCs/>
        </w:rPr>
      </w:pPr>
      <w:r>
        <w:rPr>
          <w:b/>
          <w:bCs/>
        </w:rPr>
        <w:t>MCQ-14830</w:t>
      </w:r>
    </w:p>
    <w:p>
      <w:pPr>
        <w:pStyle w:val="9"/>
      </w:pPr>
      <w:r>
        <w:t>A statement of activities prepared by a nongovernmental not-for-profit organization is most similar to which of the following financial statements prepared by a for-profit entity?</w:t>
      </w:r>
    </w:p>
    <w:p>
      <w:pPr>
        <w:pStyle w:val="9"/>
        <w:numPr>
          <w:ilvl w:val="0"/>
          <w:numId w:val="3"/>
        </w:numPr>
        <w:tabs>
          <w:tab w:val="left" w:pos="614"/>
        </w:tabs>
      </w:pPr>
      <w:bookmarkStart w:id="9" w:name="bookmark10"/>
      <w:bookmarkEnd w:id="9"/>
      <w:r>
        <w:t>Income statement</w:t>
      </w:r>
    </w:p>
    <w:p>
      <w:pPr>
        <w:pStyle w:val="9"/>
        <w:numPr>
          <w:ilvl w:val="0"/>
          <w:numId w:val="3"/>
        </w:numPr>
        <w:tabs>
          <w:tab w:val="left" w:pos="614"/>
        </w:tabs>
      </w:pPr>
      <w:bookmarkStart w:id="10" w:name="bookmark11"/>
      <w:bookmarkEnd w:id="10"/>
      <w:r>
        <w:t>Balance sheet</w:t>
      </w:r>
    </w:p>
    <w:p>
      <w:pPr>
        <w:pStyle w:val="9"/>
        <w:numPr>
          <w:ilvl w:val="0"/>
          <w:numId w:val="3"/>
        </w:numPr>
        <w:tabs>
          <w:tab w:val="left" w:pos="614"/>
        </w:tabs>
      </w:pPr>
      <w:bookmarkStart w:id="11" w:name="bookmark12"/>
      <w:bookmarkEnd w:id="11"/>
      <w:r>
        <w:t>Statement of cash flows</w:t>
      </w:r>
    </w:p>
    <w:p>
      <w:pPr>
        <w:pStyle w:val="9"/>
        <w:numPr>
          <w:ilvl w:val="0"/>
          <w:numId w:val="3"/>
        </w:numPr>
        <w:tabs>
          <w:tab w:val="left" w:pos="614"/>
        </w:tabs>
      </w:pPr>
      <w:bookmarkStart w:id="12" w:name="bookmark13"/>
      <w:bookmarkEnd w:id="12"/>
      <w:r>
        <w:t>Statement of changes in stockholders' equity</w:t>
      </w:r>
    </w:p>
    <w:p>
      <w:pPr>
        <w:pStyle w:val="9"/>
        <w:spacing w:after="60"/>
      </w:pPr>
      <w:r>
        <w:rPr>
          <w:b/>
          <w:bCs/>
        </w:rPr>
        <w:t>ANSWER:</w:t>
      </w:r>
    </w:p>
    <w:p>
      <w:pPr>
        <w:pStyle w:val="9"/>
      </w:pPr>
      <w:r>
        <w:t>Choice "A" is correct.</w:t>
      </w:r>
      <w:r>
        <w:rPr>
          <w:rFonts w:hint="eastAsia" w:eastAsiaTheme="minorEastAsia"/>
          <w:lang w:eastAsia="zh-CN"/>
        </w:rPr>
        <w:t xml:space="preserve"> </w:t>
      </w:r>
      <w:r>
        <w:rPr>
          <w:rFonts w:eastAsiaTheme="minorEastAsia"/>
          <w:lang w:eastAsia="zh-CN"/>
        </w:rPr>
        <w:t xml:space="preserve">A </w:t>
      </w:r>
      <w:r>
        <w:rPr>
          <w:rFonts w:hint="eastAsia" w:eastAsiaTheme="minorEastAsia"/>
          <w:lang w:eastAsia="zh-CN"/>
        </w:rPr>
        <w:t>statement</w:t>
      </w:r>
      <w:r>
        <w:rPr>
          <w:rFonts w:eastAsiaTheme="minorEastAsia"/>
          <w:lang w:eastAsia="zh-CN"/>
        </w:rPr>
        <w:t xml:space="preserve"> of activity is equivalent to a Commercial Income Statement and Statement of Changes in Retained Earnings of a for-profit entity. </w:t>
      </w:r>
      <w:r>
        <w:t xml:space="preserve"> </w:t>
      </w:r>
    </w:p>
    <w:p>
      <w:pPr>
        <w:pStyle w:val="9"/>
      </w:pPr>
      <w:r>
        <w:t xml:space="preserve">Choice "B" is incorrect. The Balance Sheet of a for-profit entity is equivalent to a statement of Financial Position for a not-for-profit organization rather than Statement of Activities.  </w:t>
      </w:r>
    </w:p>
    <w:p>
      <w:pPr>
        <w:pStyle w:val="9"/>
      </w:pPr>
      <w:r>
        <w:t xml:space="preserve">Choice </w:t>
      </w:r>
      <w:r>
        <w:rPr>
          <w:vertAlign w:val="superscript"/>
        </w:rPr>
        <w:t>“</w:t>
      </w:r>
      <w:r>
        <w:t xml:space="preserve">C" is incorrect. The Statement of Cash Flows of a for-profit entity is equivalent to a statement of Cash Flows for a not-for-profit organization rather than Statement of Activities.  </w:t>
      </w:r>
    </w:p>
    <w:p>
      <w:pPr>
        <w:pStyle w:val="9"/>
      </w:pPr>
      <w:r>
        <w:t xml:space="preserve">Choice "D" is incorrect. Not- for-profit organizations do not have an equivalent to a statement of changes in stockholders' equity. The balance sheet of a for-profit entity is equivalent to a statement of Financial Position for a not-for-profit organization rather than statement of activities.  </w:t>
      </w:r>
    </w:p>
    <w:p>
      <w:pPr>
        <w:widowControl/>
        <w:rPr>
          <w:sz w:val="22"/>
          <w:szCs w:val="22"/>
        </w:rPr>
      </w:pPr>
      <w:r>
        <w:br w:type="page"/>
      </w:r>
    </w:p>
    <w:p>
      <w:pPr>
        <w:pStyle w:val="9"/>
        <w:numPr>
          <w:ilvl w:val="0"/>
          <w:numId w:val="1"/>
        </w:numPr>
        <w:tabs>
          <w:tab w:val="left" w:pos="375"/>
        </w:tabs>
        <w:spacing w:before="1600" w:after="0" w:line="262" w:lineRule="auto"/>
        <w:rPr>
          <w:b/>
          <w:bCs/>
        </w:rPr>
      </w:pPr>
      <w:bookmarkStart w:id="13" w:name="bookmark14"/>
      <w:bookmarkEnd w:id="13"/>
      <w:r>
        <w:rPr>
          <w:b/>
          <w:bCs/>
        </w:rPr>
        <w:t>MCQ-14832</w:t>
      </w:r>
    </w:p>
    <w:p>
      <w:pPr>
        <w:pStyle w:val="9"/>
        <w:spacing w:after="400"/>
      </w:pPr>
      <w:r>
        <w:t>Alpha Co. has $100 billion in assets, $100 billion in revenues, and $10 billion in profits for the current year. There are four operating segments that report directly to the chief operating officer. Which of the following segments is required to present key disclosures?</w:t>
      </w:r>
    </w:p>
    <w:tbl>
      <w:tblPr>
        <w:tblStyle w:val="5"/>
        <w:tblW w:w="0" w:type="auto"/>
        <w:jc w:val="right"/>
        <w:tblLayout w:type="fixed"/>
        <w:tblCellMar>
          <w:top w:w="0" w:type="dxa"/>
          <w:left w:w="10" w:type="dxa"/>
          <w:bottom w:w="0" w:type="dxa"/>
          <w:right w:w="10" w:type="dxa"/>
        </w:tblCellMar>
      </w:tblPr>
      <w:tblGrid>
        <w:gridCol w:w="1528"/>
        <w:gridCol w:w="2717"/>
        <w:gridCol w:w="2742"/>
        <w:gridCol w:w="2091"/>
      </w:tblGrid>
      <w:tr>
        <w:tblPrEx>
          <w:tblCellMar>
            <w:top w:w="0" w:type="dxa"/>
            <w:left w:w="10" w:type="dxa"/>
            <w:bottom w:w="0" w:type="dxa"/>
            <w:right w:w="10" w:type="dxa"/>
          </w:tblCellMar>
        </w:tblPrEx>
        <w:trPr>
          <w:trHeight w:val="250" w:hRule="exact"/>
          <w:jc w:val="right"/>
        </w:trPr>
        <w:tc>
          <w:tcPr>
            <w:tcW w:w="1528" w:type="dxa"/>
            <w:shd w:val="clear" w:color="auto" w:fill="FFFFFF"/>
          </w:tcPr>
          <w:p>
            <w:pPr>
              <w:pStyle w:val="11"/>
              <w:spacing w:after="0"/>
              <w:rPr>
                <w:sz w:val="24"/>
                <w:szCs w:val="24"/>
              </w:rPr>
            </w:pPr>
            <w:r>
              <w:rPr>
                <w:i/>
                <w:iCs/>
                <w:sz w:val="24"/>
                <w:szCs w:val="24"/>
                <w:u w:val="single"/>
              </w:rPr>
              <w:t>Segment</w:t>
            </w:r>
          </w:p>
        </w:tc>
        <w:tc>
          <w:tcPr>
            <w:tcW w:w="2717" w:type="dxa"/>
            <w:shd w:val="clear" w:color="auto" w:fill="FFFFFF"/>
          </w:tcPr>
          <w:p>
            <w:pPr>
              <w:pStyle w:val="11"/>
              <w:spacing w:after="0"/>
              <w:ind w:firstLine="580"/>
              <w:rPr>
                <w:sz w:val="24"/>
                <w:szCs w:val="24"/>
              </w:rPr>
            </w:pPr>
            <w:r>
              <w:rPr>
                <w:i/>
                <w:iCs/>
                <w:sz w:val="24"/>
                <w:szCs w:val="24"/>
                <w:u w:val="single"/>
              </w:rPr>
              <w:t>Assets (in billions)</w:t>
            </w:r>
          </w:p>
        </w:tc>
        <w:tc>
          <w:tcPr>
            <w:tcW w:w="2742" w:type="dxa"/>
            <w:shd w:val="clear" w:color="auto" w:fill="FFFFFF"/>
          </w:tcPr>
          <w:p>
            <w:pPr>
              <w:pStyle w:val="11"/>
              <w:spacing w:after="0"/>
              <w:jc w:val="center"/>
              <w:rPr>
                <w:sz w:val="24"/>
                <w:szCs w:val="24"/>
              </w:rPr>
            </w:pPr>
            <w:r>
              <w:rPr>
                <w:i/>
                <w:iCs/>
                <w:sz w:val="24"/>
                <w:szCs w:val="24"/>
                <w:u w:val="single"/>
              </w:rPr>
              <w:t>Revenues (in billions)</w:t>
            </w:r>
          </w:p>
        </w:tc>
        <w:tc>
          <w:tcPr>
            <w:tcW w:w="2091" w:type="dxa"/>
            <w:shd w:val="clear" w:color="auto" w:fill="FFFFFF"/>
          </w:tcPr>
          <w:p>
            <w:pPr>
              <w:pStyle w:val="11"/>
              <w:spacing w:after="0"/>
              <w:ind w:firstLine="118"/>
              <w:jc w:val="both"/>
              <w:rPr>
                <w:sz w:val="24"/>
                <w:szCs w:val="24"/>
              </w:rPr>
            </w:pPr>
            <w:r>
              <w:rPr>
                <w:i/>
                <w:iCs/>
                <w:sz w:val="24"/>
                <w:szCs w:val="24"/>
                <w:u w:val="single"/>
              </w:rPr>
              <w:t>Profits (in billions)</w:t>
            </w:r>
          </w:p>
        </w:tc>
      </w:tr>
      <w:tr>
        <w:tblPrEx>
          <w:tblCellMar>
            <w:top w:w="0" w:type="dxa"/>
            <w:left w:w="10" w:type="dxa"/>
            <w:bottom w:w="0" w:type="dxa"/>
            <w:right w:w="10" w:type="dxa"/>
          </w:tblCellMar>
        </w:tblPrEx>
        <w:trPr>
          <w:trHeight w:val="238" w:hRule="exact"/>
          <w:jc w:val="right"/>
        </w:trPr>
        <w:tc>
          <w:tcPr>
            <w:tcW w:w="1528" w:type="dxa"/>
            <w:tcBorders>
              <w:top w:val="single" w:color="auto" w:sz="4" w:space="0"/>
            </w:tcBorders>
            <w:shd w:val="clear" w:color="auto" w:fill="FFFFFF"/>
          </w:tcPr>
          <w:p>
            <w:pPr>
              <w:pStyle w:val="11"/>
              <w:spacing w:after="0"/>
              <w:ind w:firstLine="380"/>
            </w:pPr>
            <w:r>
              <w:t>1</w:t>
            </w:r>
          </w:p>
        </w:tc>
        <w:tc>
          <w:tcPr>
            <w:tcW w:w="2717" w:type="dxa"/>
            <w:tcBorders>
              <w:top w:val="single" w:color="auto" w:sz="4" w:space="0"/>
            </w:tcBorders>
            <w:shd w:val="clear" w:color="auto" w:fill="FFFFFF"/>
          </w:tcPr>
          <w:p>
            <w:pPr>
              <w:pStyle w:val="11"/>
              <w:spacing w:after="0"/>
              <w:ind w:left="1320"/>
            </w:pPr>
            <w:r>
              <w:t>$40</w:t>
            </w:r>
          </w:p>
        </w:tc>
        <w:tc>
          <w:tcPr>
            <w:tcW w:w="2742" w:type="dxa"/>
            <w:tcBorders>
              <w:top w:val="single" w:color="auto" w:sz="4" w:space="0"/>
            </w:tcBorders>
            <w:shd w:val="clear" w:color="auto" w:fill="FFFFFF"/>
          </w:tcPr>
          <w:p>
            <w:pPr>
              <w:pStyle w:val="11"/>
              <w:spacing w:after="0"/>
              <w:jc w:val="center"/>
            </w:pPr>
            <w:r>
              <w:t>S70</w:t>
            </w:r>
          </w:p>
        </w:tc>
        <w:tc>
          <w:tcPr>
            <w:tcW w:w="2091" w:type="dxa"/>
            <w:tcBorders>
              <w:top w:val="single" w:color="auto" w:sz="4" w:space="0"/>
            </w:tcBorders>
            <w:shd w:val="clear" w:color="auto" w:fill="FFFFFF"/>
          </w:tcPr>
          <w:p>
            <w:pPr>
              <w:pStyle w:val="11"/>
              <w:spacing w:after="0"/>
              <w:ind w:firstLine="820"/>
            </w:pPr>
            <w:r>
              <w:t>$10.5</w:t>
            </w:r>
          </w:p>
        </w:tc>
      </w:tr>
      <w:tr>
        <w:tblPrEx>
          <w:tblCellMar>
            <w:top w:w="0" w:type="dxa"/>
            <w:left w:w="10" w:type="dxa"/>
            <w:bottom w:w="0" w:type="dxa"/>
            <w:right w:w="10" w:type="dxa"/>
          </w:tblCellMar>
        </w:tblPrEx>
        <w:trPr>
          <w:trHeight w:val="250" w:hRule="exact"/>
          <w:jc w:val="right"/>
        </w:trPr>
        <w:tc>
          <w:tcPr>
            <w:tcW w:w="1528" w:type="dxa"/>
            <w:shd w:val="clear" w:color="auto" w:fill="FFFFFF"/>
          </w:tcPr>
          <w:p>
            <w:pPr>
              <w:pStyle w:val="11"/>
              <w:spacing w:after="0"/>
              <w:ind w:firstLine="380"/>
            </w:pPr>
            <w:r>
              <w:t>2</w:t>
            </w:r>
          </w:p>
        </w:tc>
        <w:tc>
          <w:tcPr>
            <w:tcW w:w="2717" w:type="dxa"/>
            <w:shd w:val="clear" w:color="auto" w:fill="FFFFFF"/>
          </w:tcPr>
          <w:p>
            <w:pPr>
              <w:pStyle w:val="11"/>
              <w:spacing w:after="0"/>
              <w:ind w:left="1460"/>
            </w:pPr>
            <w:r>
              <w:t>30</w:t>
            </w:r>
          </w:p>
        </w:tc>
        <w:tc>
          <w:tcPr>
            <w:tcW w:w="2742" w:type="dxa"/>
            <w:shd w:val="clear" w:color="auto" w:fill="FFFFFF"/>
          </w:tcPr>
          <w:p>
            <w:pPr>
              <w:pStyle w:val="11"/>
              <w:spacing w:after="0"/>
              <w:jc w:val="center"/>
            </w:pPr>
            <w:r>
              <w:t>16</w:t>
            </w:r>
          </w:p>
        </w:tc>
        <w:tc>
          <w:tcPr>
            <w:tcW w:w="2091" w:type="dxa"/>
            <w:shd w:val="clear" w:color="auto" w:fill="FFFFFF"/>
          </w:tcPr>
          <w:p>
            <w:pPr>
              <w:pStyle w:val="11"/>
              <w:spacing w:after="0"/>
              <w:ind w:left="1060"/>
            </w:pPr>
            <w:r>
              <w:t>0.5</w:t>
            </w:r>
          </w:p>
        </w:tc>
      </w:tr>
      <w:tr>
        <w:tblPrEx>
          <w:tblCellMar>
            <w:top w:w="0" w:type="dxa"/>
            <w:left w:w="10" w:type="dxa"/>
            <w:bottom w:w="0" w:type="dxa"/>
            <w:right w:w="10" w:type="dxa"/>
          </w:tblCellMar>
        </w:tblPrEx>
        <w:trPr>
          <w:trHeight w:val="275" w:hRule="exact"/>
          <w:jc w:val="right"/>
        </w:trPr>
        <w:tc>
          <w:tcPr>
            <w:tcW w:w="1528" w:type="dxa"/>
            <w:shd w:val="clear" w:color="auto" w:fill="FFFFFF"/>
          </w:tcPr>
          <w:p>
            <w:pPr>
              <w:pStyle w:val="11"/>
              <w:spacing w:after="0"/>
              <w:ind w:firstLine="380"/>
            </w:pPr>
            <w:r>
              <w:t>3</w:t>
            </w:r>
          </w:p>
        </w:tc>
        <w:tc>
          <w:tcPr>
            <w:tcW w:w="2717" w:type="dxa"/>
            <w:shd w:val="clear" w:color="auto" w:fill="FFFFFF"/>
          </w:tcPr>
          <w:p>
            <w:pPr>
              <w:pStyle w:val="11"/>
              <w:spacing w:after="0"/>
              <w:ind w:left="1460"/>
            </w:pPr>
            <w:r>
              <w:t>21</w:t>
            </w:r>
          </w:p>
        </w:tc>
        <w:tc>
          <w:tcPr>
            <w:tcW w:w="2742" w:type="dxa"/>
            <w:shd w:val="clear" w:color="auto" w:fill="FFFFFF"/>
          </w:tcPr>
          <w:p>
            <w:pPr>
              <w:pStyle w:val="11"/>
              <w:spacing w:after="0"/>
              <w:jc w:val="center"/>
            </w:pPr>
            <w:r>
              <w:t>9</w:t>
            </w:r>
          </w:p>
        </w:tc>
        <w:tc>
          <w:tcPr>
            <w:tcW w:w="2091" w:type="dxa"/>
            <w:shd w:val="clear" w:color="auto" w:fill="FFFFFF"/>
          </w:tcPr>
          <w:p>
            <w:pPr>
              <w:pStyle w:val="11"/>
              <w:spacing w:after="0"/>
              <w:jc w:val="center"/>
            </w:pPr>
            <w:r>
              <w:t>(1.5)</w:t>
            </w:r>
          </w:p>
        </w:tc>
      </w:tr>
      <w:tr>
        <w:tblPrEx>
          <w:tblCellMar>
            <w:top w:w="0" w:type="dxa"/>
            <w:left w:w="10" w:type="dxa"/>
            <w:bottom w:w="0" w:type="dxa"/>
            <w:right w:w="10" w:type="dxa"/>
          </w:tblCellMar>
        </w:tblPrEx>
        <w:trPr>
          <w:trHeight w:val="213" w:hRule="exact"/>
          <w:jc w:val="right"/>
        </w:trPr>
        <w:tc>
          <w:tcPr>
            <w:tcW w:w="1528" w:type="dxa"/>
            <w:shd w:val="clear" w:color="auto" w:fill="FFFFFF"/>
          </w:tcPr>
          <w:p>
            <w:pPr>
              <w:pStyle w:val="11"/>
              <w:spacing w:after="0"/>
              <w:ind w:firstLine="380"/>
            </w:pPr>
            <w:r>
              <w:t>4</w:t>
            </w:r>
          </w:p>
        </w:tc>
        <w:tc>
          <w:tcPr>
            <w:tcW w:w="2717" w:type="dxa"/>
            <w:shd w:val="clear" w:color="auto" w:fill="FFFFFF"/>
          </w:tcPr>
          <w:p>
            <w:pPr>
              <w:pStyle w:val="11"/>
              <w:spacing w:after="0"/>
              <w:ind w:left="1560"/>
            </w:pPr>
            <w:r>
              <w:t>9</w:t>
            </w:r>
          </w:p>
        </w:tc>
        <w:tc>
          <w:tcPr>
            <w:tcW w:w="2742" w:type="dxa"/>
            <w:shd w:val="clear" w:color="auto" w:fill="FFFFFF"/>
          </w:tcPr>
          <w:p>
            <w:pPr>
              <w:pStyle w:val="11"/>
              <w:spacing w:after="0"/>
              <w:jc w:val="center"/>
            </w:pPr>
            <w:r>
              <w:t>5</w:t>
            </w:r>
          </w:p>
        </w:tc>
        <w:tc>
          <w:tcPr>
            <w:tcW w:w="2091" w:type="dxa"/>
            <w:shd w:val="clear" w:color="auto" w:fill="FFFFFF"/>
          </w:tcPr>
          <w:p>
            <w:pPr>
              <w:pStyle w:val="11"/>
              <w:spacing w:after="0"/>
              <w:ind w:left="1060"/>
            </w:pPr>
            <w:r>
              <w:t>0.5</w:t>
            </w:r>
          </w:p>
        </w:tc>
      </w:tr>
    </w:tbl>
    <w:p>
      <w:pPr>
        <w:spacing w:after="259" w:line="1" w:lineRule="exact"/>
      </w:pPr>
    </w:p>
    <w:p>
      <w:pPr>
        <w:pStyle w:val="9"/>
        <w:numPr>
          <w:ilvl w:val="0"/>
          <w:numId w:val="4"/>
        </w:numPr>
        <w:tabs>
          <w:tab w:val="left" w:pos="595"/>
        </w:tabs>
      </w:pPr>
      <w:bookmarkStart w:id="14" w:name="bookmark15"/>
      <w:bookmarkEnd w:id="14"/>
      <w:r>
        <w:t>Segment 1</w:t>
      </w:r>
    </w:p>
    <w:p>
      <w:pPr>
        <w:pStyle w:val="9"/>
        <w:numPr>
          <w:ilvl w:val="0"/>
          <w:numId w:val="4"/>
        </w:numPr>
        <w:tabs>
          <w:tab w:val="left" w:pos="595"/>
        </w:tabs>
      </w:pPr>
      <w:bookmarkStart w:id="15" w:name="bookmark16"/>
      <w:bookmarkEnd w:id="15"/>
      <w:r>
        <w:t>Segments 1 and 2</w:t>
      </w:r>
    </w:p>
    <w:p>
      <w:pPr>
        <w:pStyle w:val="9"/>
        <w:numPr>
          <w:ilvl w:val="0"/>
          <w:numId w:val="4"/>
        </w:numPr>
        <w:tabs>
          <w:tab w:val="left" w:pos="595"/>
        </w:tabs>
      </w:pPr>
      <w:bookmarkStart w:id="16" w:name="bookmark17"/>
      <w:bookmarkEnd w:id="16"/>
      <w:r>
        <w:t>Segments 1,2, and 3</w:t>
      </w:r>
    </w:p>
    <w:p>
      <w:pPr>
        <w:pStyle w:val="9"/>
        <w:numPr>
          <w:ilvl w:val="0"/>
          <w:numId w:val="4"/>
        </w:numPr>
        <w:tabs>
          <w:tab w:val="left" w:pos="595"/>
        </w:tabs>
      </w:pPr>
      <w:bookmarkStart w:id="17" w:name="bookmark18"/>
      <w:bookmarkEnd w:id="17"/>
      <w:r>
        <w:t>Segments 1,2, 3, and 4</w:t>
      </w:r>
    </w:p>
    <w:p>
      <w:pPr>
        <w:pStyle w:val="9"/>
        <w:spacing w:after="100"/>
      </w:pPr>
      <w:r>
        <w:rPr>
          <w:b/>
          <w:bCs/>
        </w:rPr>
        <w:t>ANSWER:</w:t>
      </w:r>
    </w:p>
    <w:p>
      <w:pPr>
        <w:pStyle w:val="9"/>
        <w:spacing w:after="100"/>
      </w:pPr>
      <w:r>
        <w:t>Choice "C" is correct. When a segment meets 10% “size” test, a segment is significant and therefore a disclosure is required. The size test is satisfied when any of following criteria is met:</w:t>
      </w:r>
    </w:p>
    <w:p>
      <w:pPr>
        <w:pStyle w:val="9"/>
        <w:numPr>
          <w:ilvl w:val="0"/>
          <w:numId w:val="5"/>
        </w:numPr>
        <w:spacing w:after="100"/>
      </w:pPr>
      <w:r>
        <w:t xml:space="preserve">Revenue: the segment’s internal and external revenue is 10% or more of the combined revenue (internal and external) of all reporting segments. </w:t>
      </w:r>
    </w:p>
    <w:p>
      <w:pPr>
        <w:pStyle w:val="9"/>
        <w:numPr>
          <w:ilvl w:val="0"/>
          <w:numId w:val="5"/>
        </w:numPr>
        <w:spacing w:after="100"/>
      </w:pPr>
      <w:r>
        <w:t>Assets: the segment’s asset is 10% or more of the combined assets of all reporting segments.</w:t>
      </w:r>
    </w:p>
    <w:p>
      <w:pPr>
        <w:pStyle w:val="9"/>
        <w:numPr>
          <w:ilvl w:val="0"/>
          <w:numId w:val="5"/>
        </w:numPr>
        <w:spacing w:after="100"/>
      </w:pPr>
      <w:r>
        <w:t>Profit and loss: The absolute value of the segment's reported profit or loss is 10 percent or more of the greater (absolute amount) of the combined profit of all segments that did not report a loss and the combined reported loss of all segments that did report a loss.</w:t>
      </w:r>
    </w:p>
    <w:p>
      <w:pPr>
        <w:pStyle w:val="9"/>
        <w:spacing w:after="100"/>
      </w:pPr>
      <w:r>
        <w:t xml:space="preserve">Since segment 1,2 and 3 have met the 10% assets test, segments 1, 2, and 3 are required to present a disclosure. </w:t>
      </w: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numPr>
          <w:ilvl w:val="0"/>
          <w:numId w:val="0"/>
        </w:numPr>
        <w:tabs>
          <w:tab w:val="left" w:pos="363"/>
        </w:tabs>
        <w:spacing w:before="320" w:after="100" w:line="233" w:lineRule="auto"/>
      </w:pPr>
      <w:bookmarkStart w:id="18" w:name="bookmark19"/>
      <w:bookmarkEnd w:id="18"/>
      <w:bookmarkStart w:id="19" w:name="bookmark20"/>
      <w:bookmarkEnd w:id="19"/>
      <w:bookmarkStart w:id="20" w:name="bookmark22"/>
      <w:bookmarkEnd w:id="20"/>
      <w:bookmarkStart w:id="21" w:name="bookmark21"/>
      <w:bookmarkEnd w:id="21"/>
      <w:r>
        <w:rPr>
          <w:rFonts w:hint="eastAsia" w:eastAsia="宋体"/>
          <w:b/>
          <w:bCs/>
          <w:lang w:val="en-US" w:eastAsia="zh-CN"/>
        </w:rPr>
        <w:t>5.</w:t>
      </w:r>
      <w:r>
        <w:rPr>
          <w:b/>
          <w:bCs/>
        </w:rPr>
        <w:t>MCQ-14833</w:t>
      </w:r>
    </w:p>
    <w:p>
      <w:pPr>
        <w:pStyle w:val="9"/>
        <w:spacing w:after="100" w:line="233" w:lineRule="auto"/>
      </w:pPr>
      <w:r>
        <w:t>A company reports on the cash basis. During the company's first year of business, it had sales on account of $1,000,000, inventory purchases on account of $400,000, and other expenses of $200,000. At the end of the year, the company had accounts receivable, inventory, and inventory-related accounts payable of $100,000, $10,000, and $50,000, respectively. What is the company's cash basis income for its first year of operations?</w:t>
      </w:r>
    </w:p>
    <w:p>
      <w:pPr>
        <w:pStyle w:val="9"/>
        <w:numPr>
          <w:ilvl w:val="0"/>
          <w:numId w:val="6"/>
        </w:numPr>
        <w:tabs>
          <w:tab w:val="left" w:pos="381"/>
        </w:tabs>
        <w:spacing w:after="100" w:line="233" w:lineRule="auto"/>
      </w:pPr>
      <w:bookmarkStart w:id="22" w:name="bookmark23"/>
      <w:bookmarkEnd w:id="22"/>
      <w:r>
        <w:t>$300,000</w:t>
      </w:r>
    </w:p>
    <w:p>
      <w:pPr>
        <w:pStyle w:val="9"/>
        <w:numPr>
          <w:ilvl w:val="0"/>
          <w:numId w:val="6"/>
        </w:numPr>
        <w:tabs>
          <w:tab w:val="left" w:pos="381"/>
        </w:tabs>
        <w:spacing w:after="100" w:line="233" w:lineRule="auto"/>
      </w:pPr>
      <w:bookmarkStart w:id="23" w:name="bookmark24"/>
      <w:bookmarkEnd w:id="23"/>
      <w:r>
        <w:t>$350,000</w:t>
      </w:r>
    </w:p>
    <w:p>
      <w:pPr>
        <w:pStyle w:val="9"/>
        <w:numPr>
          <w:ilvl w:val="0"/>
          <w:numId w:val="6"/>
        </w:numPr>
        <w:tabs>
          <w:tab w:val="left" w:pos="393"/>
        </w:tabs>
        <w:spacing w:after="100" w:line="233" w:lineRule="auto"/>
      </w:pPr>
      <w:bookmarkStart w:id="24" w:name="bookmark25"/>
      <w:bookmarkEnd w:id="24"/>
      <w:r>
        <w:t>$400,000</w:t>
      </w:r>
    </w:p>
    <w:p>
      <w:pPr>
        <w:pStyle w:val="9"/>
        <w:numPr>
          <w:ilvl w:val="0"/>
          <w:numId w:val="6"/>
        </w:numPr>
        <w:tabs>
          <w:tab w:val="left" w:pos="393"/>
        </w:tabs>
        <w:spacing w:after="100" w:line="233" w:lineRule="auto"/>
      </w:pPr>
      <w:bookmarkStart w:id="25" w:name="bookmark26"/>
      <w:bookmarkEnd w:id="25"/>
      <w:r>
        <w:t>$450,000</w:t>
      </w:r>
    </w:p>
    <w:p>
      <w:pPr>
        <w:pStyle w:val="9"/>
        <w:spacing w:after="100"/>
        <w:jc w:val="both"/>
      </w:pPr>
      <w:r>
        <w:rPr>
          <w:b/>
          <w:bCs/>
        </w:rPr>
        <w:t>ANSWER:</w:t>
      </w:r>
    </w:p>
    <w:p>
      <w:pPr>
        <w:pStyle w:val="9"/>
        <w:spacing w:after="100"/>
      </w:pPr>
      <w:r>
        <w:t xml:space="preserve">Choice "B" is correct. Under cash basis income, the net income only provides information about the sources of cash and the uses of cash. During the year, the net sale is $1,000,000 and there is a $100,000 account receivable balance, therefore, the cash inflow is $900,000. The company purchased $400,000 inventory and there is $50,000 balance of inventory-related account payable, therefore there is a $350,000 cash outflow. Besides, the company also incurred $200,000 other expenses, there are cash outflows. The net cash basis income, thereby, equals to $350,000($900,000 </w:t>
      </w:r>
      <w:r>
        <w:rPr>
          <w:lang w:val="zh-TW" w:eastAsia="zh-TW" w:bidi="zh-TW"/>
        </w:rPr>
        <w:t xml:space="preserve">- </w:t>
      </w:r>
      <w:r>
        <w:t xml:space="preserve">$350,000 </w:t>
      </w:r>
      <w:r>
        <w:rPr>
          <w:lang w:val="zh-TW" w:eastAsia="zh-TW" w:bidi="zh-TW"/>
        </w:rPr>
        <w:t xml:space="preserve">- </w:t>
      </w:r>
      <w:r>
        <w:t>$200,000)</w:t>
      </w: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numPr>
          <w:ilvl w:val="0"/>
          <w:numId w:val="0"/>
        </w:numPr>
        <w:tabs>
          <w:tab w:val="left" w:pos="328"/>
        </w:tabs>
        <w:spacing w:after="80"/>
        <w:ind w:leftChars="0"/>
      </w:pPr>
      <w:bookmarkStart w:id="26" w:name="bookmark27"/>
      <w:bookmarkEnd w:id="26"/>
      <w:r>
        <w:rPr>
          <w:rFonts w:hint="eastAsia" w:eastAsia="宋体"/>
          <w:b/>
          <w:bCs/>
          <w:lang w:val="en-US" w:eastAsia="zh-CN"/>
        </w:rPr>
        <w:t>6.</w:t>
      </w:r>
      <w:r>
        <w:rPr>
          <w:b/>
          <w:bCs/>
        </w:rPr>
        <w:t>MCQ-14834</w:t>
      </w:r>
    </w:p>
    <w:p>
      <w:pPr>
        <w:pStyle w:val="9"/>
        <w:spacing w:after="140"/>
      </w:pPr>
      <w:r>
        <w:t>A company uses a periodic inventory system and has its cost of ending inventory understated by $4,000. Which of the following describes the effects of this error on the company's current year's cost of goods sold and net income, respectively?</w:t>
      </w:r>
    </w:p>
    <w:tbl>
      <w:tblPr>
        <w:tblStyle w:val="5"/>
        <w:tblW w:w="0" w:type="auto"/>
        <w:tblInd w:w="0" w:type="dxa"/>
        <w:tblLayout w:type="fixed"/>
        <w:tblCellMar>
          <w:top w:w="0" w:type="dxa"/>
          <w:left w:w="10" w:type="dxa"/>
          <w:bottom w:w="0" w:type="dxa"/>
          <w:right w:w="10" w:type="dxa"/>
        </w:tblCellMar>
      </w:tblPr>
      <w:tblGrid>
        <w:gridCol w:w="591"/>
        <w:gridCol w:w="2486"/>
        <w:gridCol w:w="1575"/>
      </w:tblGrid>
      <w:tr>
        <w:tblPrEx>
          <w:tblCellMar>
            <w:top w:w="0" w:type="dxa"/>
            <w:left w:w="10" w:type="dxa"/>
            <w:bottom w:w="0" w:type="dxa"/>
            <w:right w:w="10" w:type="dxa"/>
          </w:tblCellMar>
        </w:tblPrEx>
        <w:trPr>
          <w:trHeight w:val="295" w:hRule="exact"/>
        </w:trPr>
        <w:tc>
          <w:tcPr>
            <w:tcW w:w="591" w:type="dxa"/>
            <w:shd w:val="clear" w:color="auto" w:fill="FFFFFF"/>
          </w:tcPr>
          <w:p>
            <w:pPr>
              <w:rPr>
                <w:sz w:val="10"/>
                <w:szCs w:val="10"/>
              </w:rPr>
            </w:pPr>
          </w:p>
        </w:tc>
        <w:tc>
          <w:tcPr>
            <w:tcW w:w="2486" w:type="dxa"/>
            <w:shd w:val="clear" w:color="auto" w:fill="FFFFFF"/>
          </w:tcPr>
          <w:p>
            <w:pPr>
              <w:pStyle w:val="11"/>
              <w:spacing w:after="0"/>
              <w:jc w:val="center"/>
              <w:rPr>
                <w:sz w:val="24"/>
                <w:szCs w:val="24"/>
              </w:rPr>
            </w:pPr>
            <w:r>
              <w:rPr>
                <w:i/>
                <w:iCs/>
                <w:sz w:val="24"/>
                <w:szCs w:val="24"/>
                <w:u w:val="single"/>
              </w:rPr>
              <w:t>Cost of goods sold</w:t>
            </w:r>
          </w:p>
        </w:tc>
        <w:tc>
          <w:tcPr>
            <w:tcW w:w="1575" w:type="dxa"/>
            <w:shd w:val="clear" w:color="auto" w:fill="FFFFFF"/>
          </w:tcPr>
          <w:p>
            <w:pPr>
              <w:pStyle w:val="11"/>
              <w:spacing w:after="0"/>
              <w:ind w:firstLine="360"/>
              <w:rPr>
                <w:sz w:val="24"/>
                <w:szCs w:val="24"/>
              </w:rPr>
            </w:pPr>
            <w:r>
              <w:rPr>
                <w:i/>
                <w:iCs/>
                <w:sz w:val="24"/>
                <w:szCs w:val="24"/>
                <w:u w:val="single"/>
              </w:rPr>
              <w:t>Net income</w:t>
            </w:r>
          </w:p>
        </w:tc>
      </w:tr>
      <w:tr>
        <w:tblPrEx>
          <w:tblCellMar>
            <w:top w:w="0" w:type="dxa"/>
            <w:left w:w="10" w:type="dxa"/>
            <w:bottom w:w="0" w:type="dxa"/>
            <w:right w:w="10" w:type="dxa"/>
          </w:tblCellMar>
        </w:tblPrEx>
        <w:trPr>
          <w:trHeight w:val="369" w:hRule="exact"/>
        </w:trPr>
        <w:tc>
          <w:tcPr>
            <w:tcW w:w="591" w:type="dxa"/>
            <w:shd w:val="clear" w:color="auto" w:fill="FFFFFF"/>
          </w:tcPr>
          <w:p>
            <w:pPr>
              <w:pStyle w:val="11"/>
              <w:spacing w:after="0"/>
            </w:pPr>
            <w:r>
              <w:t>A.</w:t>
            </w:r>
          </w:p>
        </w:tc>
        <w:tc>
          <w:tcPr>
            <w:tcW w:w="2486" w:type="dxa"/>
            <w:shd w:val="clear" w:color="auto" w:fill="FFFFFF"/>
          </w:tcPr>
          <w:p>
            <w:pPr>
              <w:pStyle w:val="11"/>
              <w:spacing w:after="0"/>
              <w:jc w:val="center"/>
            </w:pPr>
            <w:r>
              <w:t>Understated</w:t>
            </w:r>
          </w:p>
        </w:tc>
        <w:tc>
          <w:tcPr>
            <w:tcW w:w="1575" w:type="dxa"/>
            <w:shd w:val="clear" w:color="auto" w:fill="FFFFFF"/>
          </w:tcPr>
          <w:p>
            <w:pPr>
              <w:pStyle w:val="11"/>
              <w:spacing w:after="0"/>
              <w:ind w:firstLine="360"/>
            </w:pPr>
            <w:r>
              <w:t>Understated</w:t>
            </w:r>
          </w:p>
        </w:tc>
      </w:tr>
      <w:tr>
        <w:tblPrEx>
          <w:tblCellMar>
            <w:top w:w="0" w:type="dxa"/>
            <w:left w:w="10" w:type="dxa"/>
            <w:bottom w:w="0" w:type="dxa"/>
            <w:right w:w="10" w:type="dxa"/>
          </w:tblCellMar>
        </w:tblPrEx>
        <w:trPr>
          <w:trHeight w:val="382" w:hRule="exact"/>
        </w:trPr>
        <w:tc>
          <w:tcPr>
            <w:tcW w:w="591" w:type="dxa"/>
            <w:shd w:val="clear" w:color="auto" w:fill="FFFFFF"/>
          </w:tcPr>
          <w:p>
            <w:pPr>
              <w:pStyle w:val="11"/>
              <w:spacing w:after="0"/>
            </w:pPr>
            <w:r>
              <w:t>B.</w:t>
            </w:r>
          </w:p>
        </w:tc>
        <w:tc>
          <w:tcPr>
            <w:tcW w:w="2486" w:type="dxa"/>
            <w:shd w:val="clear" w:color="auto" w:fill="FFFFFF"/>
          </w:tcPr>
          <w:p>
            <w:pPr>
              <w:pStyle w:val="11"/>
              <w:spacing w:after="0"/>
              <w:jc w:val="center"/>
            </w:pPr>
            <w:r>
              <w:t>Understated</w:t>
            </w:r>
          </w:p>
        </w:tc>
        <w:tc>
          <w:tcPr>
            <w:tcW w:w="1575" w:type="dxa"/>
            <w:shd w:val="clear" w:color="auto" w:fill="FFFFFF"/>
          </w:tcPr>
          <w:p>
            <w:pPr>
              <w:pStyle w:val="11"/>
              <w:spacing w:after="0"/>
              <w:ind w:firstLine="360"/>
            </w:pPr>
            <w:r>
              <w:t>Overstated</w:t>
            </w:r>
          </w:p>
        </w:tc>
      </w:tr>
      <w:tr>
        <w:tblPrEx>
          <w:tblCellMar>
            <w:top w:w="0" w:type="dxa"/>
            <w:left w:w="10" w:type="dxa"/>
            <w:bottom w:w="0" w:type="dxa"/>
            <w:right w:w="10" w:type="dxa"/>
          </w:tblCellMar>
        </w:tblPrEx>
        <w:trPr>
          <w:trHeight w:val="382" w:hRule="exact"/>
        </w:trPr>
        <w:tc>
          <w:tcPr>
            <w:tcW w:w="591" w:type="dxa"/>
            <w:shd w:val="clear" w:color="auto" w:fill="FFFFFF"/>
          </w:tcPr>
          <w:p>
            <w:pPr>
              <w:pStyle w:val="11"/>
              <w:spacing w:after="0"/>
            </w:pPr>
            <w:r>
              <w:t>C.</w:t>
            </w:r>
          </w:p>
        </w:tc>
        <w:tc>
          <w:tcPr>
            <w:tcW w:w="2486" w:type="dxa"/>
            <w:shd w:val="clear" w:color="auto" w:fill="FFFFFF"/>
          </w:tcPr>
          <w:p>
            <w:pPr>
              <w:pStyle w:val="11"/>
              <w:spacing w:after="0"/>
              <w:jc w:val="center"/>
            </w:pPr>
            <w:r>
              <w:t>Overstated</w:t>
            </w:r>
          </w:p>
        </w:tc>
        <w:tc>
          <w:tcPr>
            <w:tcW w:w="1575" w:type="dxa"/>
            <w:shd w:val="clear" w:color="auto" w:fill="FFFFFF"/>
          </w:tcPr>
          <w:p>
            <w:pPr>
              <w:pStyle w:val="11"/>
              <w:spacing w:after="0"/>
              <w:ind w:firstLine="360"/>
            </w:pPr>
            <w:r>
              <w:t>Understated</w:t>
            </w:r>
          </w:p>
        </w:tc>
      </w:tr>
      <w:tr>
        <w:tblPrEx>
          <w:tblCellMar>
            <w:top w:w="0" w:type="dxa"/>
            <w:left w:w="10" w:type="dxa"/>
            <w:bottom w:w="0" w:type="dxa"/>
            <w:right w:w="10" w:type="dxa"/>
          </w:tblCellMar>
        </w:tblPrEx>
        <w:trPr>
          <w:trHeight w:val="295" w:hRule="exact"/>
        </w:trPr>
        <w:tc>
          <w:tcPr>
            <w:tcW w:w="591" w:type="dxa"/>
            <w:shd w:val="clear" w:color="auto" w:fill="FFFFFF"/>
            <w:vAlign w:val="bottom"/>
          </w:tcPr>
          <w:p>
            <w:pPr>
              <w:pStyle w:val="11"/>
              <w:spacing w:after="0"/>
            </w:pPr>
            <w:r>
              <w:t>D.</w:t>
            </w:r>
          </w:p>
        </w:tc>
        <w:tc>
          <w:tcPr>
            <w:tcW w:w="2486" w:type="dxa"/>
            <w:shd w:val="clear" w:color="auto" w:fill="FFFFFF"/>
            <w:vAlign w:val="bottom"/>
          </w:tcPr>
          <w:p>
            <w:pPr>
              <w:pStyle w:val="11"/>
              <w:spacing w:after="0"/>
              <w:jc w:val="center"/>
            </w:pPr>
            <w:r>
              <w:t>Overstated</w:t>
            </w:r>
          </w:p>
        </w:tc>
        <w:tc>
          <w:tcPr>
            <w:tcW w:w="1575" w:type="dxa"/>
            <w:shd w:val="clear" w:color="auto" w:fill="FFFFFF"/>
            <w:vAlign w:val="bottom"/>
          </w:tcPr>
          <w:p>
            <w:pPr>
              <w:pStyle w:val="11"/>
              <w:spacing w:after="0"/>
              <w:ind w:firstLine="360"/>
            </w:pPr>
            <w:r>
              <w:t>Overstated</w:t>
            </w:r>
          </w:p>
        </w:tc>
      </w:tr>
    </w:tbl>
    <w:p>
      <w:pPr>
        <w:pStyle w:val="9"/>
        <w:spacing w:line="233" w:lineRule="auto"/>
        <w:jc w:val="both"/>
      </w:pPr>
      <w:r>
        <w:rPr>
          <w:b/>
          <w:bCs/>
        </w:rPr>
        <w:t>ANSWER:</w:t>
      </w:r>
    </w:p>
    <w:p>
      <w:pPr>
        <w:pStyle w:val="9"/>
        <w:spacing w:line="233" w:lineRule="auto"/>
      </w:pPr>
      <w:r>
        <w:t xml:space="preserve">Choice "C" is correct. Under a periodic inventory system, businesses physically count their products at the end of the period and use the information to balance their general ledger. The cost of goods sold equals to the difference between beginning inventory plus purchases less ending inventory. </w:t>
      </w:r>
    </w:p>
    <w:p>
      <w:pPr>
        <w:pStyle w:val="9"/>
        <w:spacing w:line="233" w:lineRule="auto"/>
        <w:rPr>
          <w:rFonts w:eastAsia="PMingLiU"/>
        </w:rPr>
      </w:pPr>
      <w:r>
        <w:t>Cost of goods sold (COGS)</w:t>
      </w:r>
      <w:r>
        <w:rPr>
          <w:rFonts w:hint="eastAsia" w:ascii="宋体" w:hAnsi="宋体" w:eastAsia="宋体"/>
        </w:rPr>
        <w:t>↑</w:t>
      </w:r>
      <w:r>
        <w:t xml:space="preserve"> = Beginning inventory </w:t>
      </w:r>
      <w:r>
        <w:rPr>
          <w:lang w:val="zh-TW" w:eastAsia="zh-TW" w:bidi="zh-TW"/>
        </w:rPr>
        <w:t xml:space="preserve">+ </w:t>
      </w:r>
      <w:r>
        <w:t xml:space="preserve">Purchases - Ending inventory </w:t>
      </w:r>
      <w:r>
        <w:rPr>
          <w:rFonts w:hint="eastAsia" w:ascii="宋体" w:hAnsi="宋体" w:eastAsia="宋体"/>
        </w:rPr>
        <w:t>↓</w:t>
      </w:r>
    </w:p>
    <w:p>
      <w:pPr>
        <w:pStyle w:val="9"/>
        <w:spacing w:line="233" w:lineRule="auto"/>
      </w:pPr>
      <w:r>
        <w:t xml:space="preserve">According to above equation, when ending inventory is understated by $4,000, the COGS is overstated by $4,000, leading to understatement of net income. </w:t>
      </w: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spacing w:line="233" w:lineRule="auto"/>
        <w:jc w:val="both"/>
      </w:pPr>
    </w:p>
    <w:p>
      <w:pPr>
        <w:pStyle w:val="9"/>
        <w:numPr>
          <w:ilvl w:val="0"/>
          <w:numId w:val="7"/>
        </w:numPr>
        <w:tabs>
          <w:tab w:val="left" w:pos="377"/>
        </w:tabs>
        <w:spacing w:after="100"/>
      </w:pPr>
      <w:bookmarkStart w:id="27" w:name="bookmark28"/>
      <w:bookmarkEnd w:id="27"/>
      <w:r>
        <w:rPr>
          <w:b/>
          <w:bCs/>
        </w:rPr>
        <w:t>MCQ-14835</w:t>
      </w:r>
    </w:p>
    <w:p>
      <w:pPr>
        <w:pStyle w:val="9"/>
        <w:spacing w:after="160"/>
      </w:pPr>
      <w:r>
        <w:t>On January 1, Lyle Co. purchased a manufacturing facility. After remodeling was completed, the facility was ready for use on March 1. On April 1, production began. Interest costs were incurred as follows:</w:t>
      </w:r>
    </w:p>
    <w:tbl>
      <w:tblPr>
        <w:tblStyle w:val="5"/>
        <w:tblW w:w="0" w:type="auto"/>
        <w:tblInd w:w="0" w:type="dxa"/>
        <w:tblLayout w:type="fixed"/>
        <w:tblCellMar>
          <w:top w:w="0" w:type="dxa"/>
          <w:left w:w="10" w:type="dxa"/>
          <w:bottom w:w="0" w:type="dxa"/>
          <w:right w:w="10" w:type="dxa"/>
        </w:tblCellMar>
      </w:tblPr>
      <w:tblGrid>
        <w:gridCol w:w="1655"/>
        <w:gridCol w:w="2956"/>
        <w:gridCol w:w="3129"/>
      </w:tblGrid>
      <w:tr>
        <w:tblPrEx>
          <w:tblCellMar>
            <w:top w:w="0" w:type="dxa"/>
            <w:left w:w="10" w:type="dxa"/>
            <w:bottom w:w="0" w:type="dxa"/>
            <w:right w:w="10" w:type="dxa"/>
          </w:tblCellMar>
        </w:tblPrEx>
        <w:trPr>
          <w:trHeight w:val="291" w:hRule="exact"/>
        </w:trPr>
        <w:tc>
          <w:tcPr>
            <w:tcW w:w="1655" w:type="dxa"/>
            <w:shd w:val="clear" w:color="auto" w:fill="FFFFFF"/>
          </w:tcPr>
          <w:p>
            <w:pPr>
              <w:rPr>
                <w:sz w:val="10"/>
                <w:szCs w:val="10"/>
              </w:rPr>
            </w:pPr>
          </w:p>
        </w:tc>
        <w:tc>
          <w:tcPr>
            <w:tcW w:w="2956" w:type="dxa"/>
            <w:shd w:val="clear" w:color="auto" w:fill="FFFFFF"/>
          </w:tcPr>
          <w:p>
            <w:pPr>
              <w:pStyle w:val="11"/>
              <w:spacing w:after="0"/>
              <w:jc w:val="center"/>
              <w:rPr>
                <w:sz w:val="24"/>
                <w:szCs w:val="24"/>
              </w:rPr>
            </w:pPr>
            <w:r>
              <w:rPr>
                <w:i/>
                <w:iCs/>
                <w:sz w:val="24"/>
                <w:szCs w:val="24"/>
                <w:u w:val="single"/>
              </w:rPr>
              <w:t>January 1</w:t>
            </w:r>
            <w:r>
              <w:rPr>
                <w:u w:val="single"/>
              </w:rPr>
              <w:t xml:space="preserve"> to </w:t>
            </w:r>
            <w:r>
              <w:rPr>
                <w:i/>
                <w:iCs/>
                <w:sz w:val="24"/>
                <w:szCs w:val="24"/>
                <w:u w:val="single"/>
              </w:rPr>
              <w:t>March 1</w:t>
            </w:r>
          </w:p>
        </w:tc>
        <w:tc>
          <w:tcPr>
            <w:tcW w:w="3129" w:type="dxa"/>
            <w:shd w:val="clear" w:color="auto" w:fill="FFFFFF"/>
          </w:tcPr>
          <w:p>
            <w:pPr>
              <w:pStyle w:val="11"/>
              <w:spacing w:after="0"/>
              <w:ind w:firstLine="400"/>
              <w:rPr>
                <w:sz w:val="24"/>
                <w:szCs w:val="24"/>
              </w:rPr>
            </w:pPr>
            <w:r>
              <w:rPr>
                <w:i/>
                <w:iCs/>
                <w:sz w:val="24"/>
                <w:szCs w:val="24"/>
                <w:u w:val="single"/>
              </w:rPr>
              <w:t>March 1</w:t>
            </w:r>
            <w:r>
              <w:rPr>
                <w:u w:val="single"/>
              </w:rPr>
              <w:t xml:space="preserve"> to </w:t>
            </w:r>
            <w:r>
              <w:rPr>
                <w:i/>
                <w:iCs/>
                <w:sz w:val="24"/>
                <w:szCs w:val="24"/>
                <w:u w:val="single"/>
              </w:rPr>
              <w:t>April 1</w:t>
            </w:r>
          </w:p>
        </w:tc>
      </w:tr>
      <w:tr>
        <w:tblPrEx>
          <w:tblCellMar>
            <w:top w:w="0" w:type="dxa"/>
            <w:left w:w="10" w:type="dxa"/>
            <w:bottom w:w="0" w:type="dxa"/>
            <w:right w:w="10" w:type="dxa"/>
          </w:tblCellMar>
        </w:tblPrEx>
        <w:trPr>
          <w:trHeight w:val="404" w:hRule="exact"/>
        </w:trPr>
        <w:tc>
          <w:tcPr>
            <w:tcW w:w="1655" w:type="dxa"/>
            <w:shd w:val="clear" w:color="auto" w:fill="FFFFFF"/>
          </w:tcPr>
          <w:p>
            <w:pPr>
              <w:pStyle w:val="11"/>
              <w:spacing w:after="0"/>
            </w:pPr>
            <w:r>
              <w:t>Building</w:t>
            </w:r>
          </w:p>
        </w:tc>
        <w:tc>
          <w:tcPr>
            <w:tcW w:w="2956" w:type="dxa"/>
            <w:tcBorders>
              <w:top w:val="single" w:color="auto" w:sz="4" w:space="0"/>
            </w:tcBorders>
            <w:shd w:val="clear" w:color="auto" w:fill="FFFFFF"/>
          </w:tcPr>
          <w:p>
            <w:pPr>
              <w:pStyle w:val="11"/>
              <w:spacing w:after="0"/>
              <w:jc w:val="center"/>
            </w:pPr>
            <w:r>
              <w:t>$10,000</w:t>
            </w:r>
          </w:p>
        </w:tc>
        <w:tc>
          <w:tcPr>
            <w:tcW w:w="3129" w:type="dxa"/>
            <w:tcBorders>
              <w:top w:val="single" w:color="auto" w:sz="4" w:space="0"/>
            </w:tcBorders>
            <w:shd w:val="clear" w:color="auto" w:fill="FFFFFF"/>
          </w:tcPr>
          <w:p>
            <w:pPr>
              <w:pStyle w:val="11"/>
              <w:spacing w:after="0"/>
              <w:ind w:firstLine="860"/>
            </w:pPr>
            <w:r>
              <w:t>$5,000</w:t>
            </w:r>
          </w:p>
        </w:tc>
      </w:tr>
      <w:tr>
        <w:tblPrEx>
          <w:tblCellMar>
            <w:top w:w="0" w:type="dxa"/>
            <w:left w:w="10" w:type="dxa"/>
            <w:bottom w:w="0" w:type="dxa"/>
            <w:right w:w="10" w:type="dxa"/>
          </w:tblCellMar>
        </w:tblPrEx>
        <w:trPr>
          <w:trHeight w:val="354" w:hRule="exact"/>
        </w:trPr>
        <w:tc>
          <w:tcPr>
            <w:tcW w:w="1655" w:type="dxa"/>
            <w:shd w:val="clear" w:color="auto" w:fill="FFFFFF"/>
            <w:vAlign w:val="bottom"/>
          </w:tcPr>
          <w:p>
            <w:pPr>
              <w:pStyle w:val="11"/>
              <w:spacing w:after="0"/>
            </w:pPr>
            <w:r>
              <w:t>Remodeling</w:t>
            </w:r>
          </w:p>
        </w:tc>
        <w:tc>
          <w:tcPr>
            <w:tcW w:w="2956" w:type="dxa"/>
            <w:shd w:val="clear" w:color="auto" w:fill="FFFFFF"/>
            <w:vAlign w:val="bottom"/>
          </w:tcPr>
          <w:p>
            <w:pPr>
              <w:pStyle w:val="11"/>
              <w:spacing w:after="0"/>
              <w:jc w:val="center"/>
            </w:pPr>
            <w:r>
              <w:t>2,000</w:t>
            </w:r>
          </w:p>
        </w:tc>
        <w:tc>
          <w:tcPr>
            <w:tcW w:w="3129" w:type="dxa"/>
            <w:shd w:val="clear" w:color="auto" w:fill="FFFFFF"/>
            <w:vAlign w:val="bottom"/>
          </w:tcPr>
          <w:p>
            <w:pPr>
              <w:pStyle w:val="11"/>
              <w:spacing w:after="0"/>
              <w:ind w:firstLine="1000"/>
            </w:pPr>
            <w:r>
              <w:t>3,000</w:t>
            </w:r>
          </w:p>
        </w:tc>
      </w:tr>
    </w:tbl>
    <w:p>
      <w:pPr>
        <w:pStyle w:val="13"/>
      </w:pPr>
      <w:r>
        <w:t>What amount of interest should Lyle capitalize during the current year?</w:t>
      </w:r>
    </w:p>
    <w:p>
      <w:pPr>
        <w:spacing w:after="99" w:line="1" w:lineRule="exact"/>
      </w:pPr>
    </w:p>
    <w:p>
      <w:pPr>
        <w:pStyle w:val="9"/>
        <w:numPr>
          <w:ilvl w:val="0"/>
          <w:numId w:val="8"/>
        </w:numPr>
        <w:tabs>
          <w:tab w:val="left" w:pos="600"/>
        </w:tabs>
        <w:spacing w:after="100"/>
        <w:jc w:val="both"/>
      </w:pPr>
      <w:bookmarkStart w:id="28" w:name="bookmark29"/>
      <w:bookmarkEnd w:id="28"/>
      <w:r>
        <w:t>$10.000</w:t>
      </w:r>
    </w:p>
    <w:p>
      <w:pPr>
        <w:pStyle w:val="9"/>
        <w:numPr>
          <w:ilvl w:val="0"/>
          <w:numId w:val="8"/>
        </w:numPr>
        <w:tabs>
          <w:tab w:val="left" w:pos="600"/>
        </w:tabs>
        <w:spacing w:after="100"/>
        <w:jc w:val="both"/>
      </w:pPr>
      <w:bookmarkStart w:id="29" w:name="bookmark30"/>
      <w:bookmarkEnd w:id="29"/>
      <w:r>
        <w:t>$12,000</w:t>
      </w:r>
    </w:p>
    <w:p>
      <w:pPr>
        <w:pStyle w:val="9"/>
        <w:numPr>
          <w:ilvl w:val="0"/>
          <w:numId w:val="8"/>
        </w:numPr>
        <w:tabs>
          <w:tab w:val="left" w:pos="600"/>
        </w:tabs>
        <w:spacing w:after="100"/>
        <w:jc w:val="both"/>
      </w:pPr>
      <w:bookmarkStart w:id="30" w:name="bookmark31"/>
      <w:bookmarkEnd w:id="30"/>
      <w:r>
        <w:t>$15,000</w:t>
      </w:r>
    </w:p>
    <w:p>
      <w:pPr>
        <w:pStyle w:val="9"/>
        <w:numPr>
          <w:ilvl w:val="0"/>
          <w:numId w:val="8"/>
        </w:numPr>
        <w:tabs>
          <w:tab w:val="left" w:pos="600"/>
        </w:tabs>
        <w:spacing w:after="100"/>
        <w:jc w:val="both"/>
      </w:pPr>
      <w:bookmarkStart w:id="31" w:name="bookmark32"/>
      <w:bookmarkEnd w:id="31"/>
      <w:r>
        <w:t>$20,000</w:t>
      </w:r>
    </w:p>
    <w:p>
      <w:pPr>
        <w:pStyle w:val="9"/>
        <w:spacing w:after="60" w:line="233" w:lineRule="auto"/>
        <w:jc w:val="both"/>
      </w:pPr>
      <w:r>
        <w:rPr>
          <w:b/>
          <w:bCs/>
        </w:rPr>
        <w:t>ANSWER:</w:t>
      </w:r>
    </w:p>
    <w:p>
      <w:pPr>
        <w:widowControl/>
        <w:shd w:val="clear" w:color="auto" w:fill="FFFFFF"/>
        <w:rPr>
          <w:rFonts w:ascii="PwC Helvetica Neue" w:hAnsi="PwC Helvetica Neue"/>
          <w:color w:val="2D2D2D"/>
          <w:sz w:val="27"/>
          <w:szCs w:val="27"/>
          <w:lang w:eastAsia="zh-CN" w:bidi="ar-SA"/>
        </w:rPr>
      </w:pPr>
      <w:r>
        <w:t>Choice "B" is correct. According to GAAP, the capitalization period shall begin when the following three conditions are present:</w:t>
      </w:r>
    </w:p>
    <w:p>
      <w:pPr>
        <w:widowControl/>
        <w:shd w:val="clear" w:color="auto" w:fill="FFFFFF"/>
      </w:pPr>
      <w:r>
        <w:t>a. Expenditures for the asset have been made.</w:t>
      </w:r>
    </w:p>
    <w:p>
      <w:pPr>
        <w:widowControl/>
        <w:shd w:val="clear" w:color="auto" w:fill="FFFFFF"/>
      </w:pPr>
      <w:r>
        <w:t>b. Activities that are necessary to get the asset ready for its intended use are in progress.</w:t>
      </w:r>
    </w:p>
    <w:p>
      <w:pPr>
        <w:widowControl/>
        <w:shd w:val="clear" w:color="auto" w:fill="FFFFFF"/>
      </w:pPr>
      <w:r>
        <w:t>c. Interest cost is being incurred.</w:t>
      </w:r>
    </w:p>
    <w:p>
      <w:pPr>
        <w:widowControl/>
        <w:shd w:val="clear" w:color="auto" w:fill="FFFFFF"/>
      </w:pPr>
      <w:r>
        <w:t>Interest capitalization shall continue as long as those three conditions are present and end when property is ready for the intended use. In this case, the expenditures start from January 1 and the facility is ready for use on March 1. The capitalization period shall start from Jan. 1 to March 1. Both building related interest and remolding related interest should be capitalized. Total amount of capitalized interest should be $12,000 (10,000+2,000).</w:t>
      </w: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widowControl/>
        <w:shd w:val="clear" w:color="auto" w:fill="FFFFFF"/>
      </w:pPr>
    </w:p>
    <w:p>
      <w:pPr>
        <w:pStyle w:val="9"/>
        <w:numPr>
          <w:ilvl w:val="0"/>
          <w:numId w:val="7"/>
        </w:numPr>
        <w:tabs>
          <w:tab w:val="left" w:pos="372"/>
        </w:tabs>
        <w:spacing w:before="680" w:after="60"/>
      </w:pPr>
      <w:bookmarkStart w:id="32" w:name="bookmark33"/>
      <w:bookmarkEnd w:id="32"/>
      <w:r>
        <w:rPr>
          <w:b/>
          <w:bCs/>
        </w:rPr>
        <w:t>MCQ-14836</w:t>
      </w:r>
    </w:p>
    <w:p>
      <w:pPr>
        <w:pStyle w:val="9"/>
      </w:pPr>
      <w:r>
        <w:t>The equity method would be used if a company owned what percentage of its investee company's stock?</w:t>
      </w:r>
    </w:p>
    <w:p>
      <w:pPr>
        <w:pStyle w:val="9"/>
        <w:numPr>
          <w:ilvl w:val="0"/>
          <w:numId w:val="9"/>
        </w:numPr>
        <w:tabs>
          <w:tab w:val="left" w:pos="628"/>
        </w:tabs>
      </w:pPr>
      <w:bookmarkStart w:id="33" w:name="bookmark34"/>
      <w:bookmarkEnd w:id="33"/>
      <w:r>
        <w:rPr>
          <w:lang w:val="zh-CN" w:eastAsia="zh-CN" w:bidi="zh-CN"/>
        </w:rPr>
        <w:t>5%</w:t>
      </w:r>
    </w:p>
    <w:p>
      <w:pPr>
        <w:pStyle w:val="9"/>
        <w:numPr>
          <w:ilvl w:val="0"/>
          <w:numId w:val="9"/>
        </w:numPr>
        <w:tabs>
          <w:tab w:val="left" w:pos="628"/>
        </w:tabs>
      </w:pPr>
      <w:bookmarkStart w:id="34" w:name="bookmark35"/>
      <w:bookmarkEnd w:id="34"/>
      <w:r>
        <w:rPr>
          <w:lang w:val="zh-CN" w:eastAsia="zh-CN" w:bidi="zh-CN"/>
        </w:rPr>
        <w:t>15%</w:t>
      </w:r>
    </w:p>
    <w:p>
      <w:pPr>
        <w:pStyle w:val="9"/>
        <w:numPr>
          <w:ilvl w:val="0"/>
          <w:numId w:val="9"/>
        </w:numPr>
        <w:tabs>
          <w:tab w:val="left" w:pos="628"/>
        </w:tabs>
      </w:pPr>
      <w:bookmarkStart w:id="35" w:name="bookmark36"/>
      <w:bookmarkEnd w:id="35"/>
      <w:r>
        <w:rPr>
          <w:lang w:val="zh-CN" w:eastAsia="zh-CN" w:bidi="zh-CN"/>
        </w:rPr>
        <w:t>25%</w:t>
      </w:r>
    </w:p>
    <w:p>
      <w:pPr>
        <w:pStyle w:val="9"/>
        <w:numPr>
          <w:ilvl w:val="0"/>
          <w:numId w:val="9"/>
        </w:numPr>
        <w:tabs>
          <w:tab w:val="left" w:pos="628"/>
        </w:tabs>
      </w:pPr>
      <w:bookmarkStart w:id="36" w:name="bookmark37"/>
      <w:bookmarkEnd w:id="36"/>
      <w:r>
        <w:rPr>
          <w:lang w:val="zh-CN" w:eastAsia="zh-CN" w:bidi="zh-CN"/>
        </w:rPr>
        <w:t>75%</w:t>
      </w:r>
    </w:p>
    <w:p>
      <w:pPr>
        <w:pStyle w:val="9"/>
        <w:spacing w:after="60"/>
      </w:pPr>
      <w:r>
        <w:rPr>
          <w:b/>
          <w:bCs/>
        </w:rPr>
        <w:t>ANSWER:</w:t>
      </w:r>
    </w:p>
    <w:p>
      <w:pPr>
        <w:pStyle w:val="9"/>
      </w:pPr>
      <w:r>
        <w:t xml:space="preserve">Choice "C" is correct. The equity method is applied when a company's ownership interest in another company is valued at 20–50% (generally investor company can exercise significant influence over the operation and financial policies of the investee) of the stock in the investee. The equity method requires the investing company to record the investee's profits or losses in proportion to the percentage of ownership. In this case, the significant influence exists since there is 25% ownership of investee company’s stock, thereby, equity method is required.  </w:t>
      </w:r>
    </w:p>
    <w:p>
      <w:pPr>
        <w:widowControl/>
        <w:rPr>
          <w:sz w:val="22"/>
          <w:szCs w:val="22"/>
        </w:rPr>
      </w:pPr>
      <w:r>
        <w:br w:type="page"/>
      </w:r>
    </w:p>
    <w:p>
      <w:pPr>
        <w:pStyle w:val="9"/>
        <w:numPr>
          <w:ilvl w:val="0"/>
          <w:numId w:val="7"/>
        </w:numPr>
        <w:tabs>
          <w:tab w:val="left" w:pos="378"/>
        </w:tabs>
        <w:spacing w:before="680" w:after="60"/>
        <w:ind w:hanging="360"/>
        <w:rPr>
          <w:b/>
          <w:bCs/>
        </w:rPr>
      </w:pPr>
      <w:bookmarkStart w:id="37" w:name="bookmark38"/>
      <w:bookmarkEnd w:id="37"/>
      <w:r>
        <w:rPr>
          <w:b/>
          <w:bCs/>
        </w:rPr>
        <w:t>MCQ-14838</w:t>
      </w:r>
    </w:p>
    <w:p>
      <w:pPr>
        <w:pStyle w:val="9"/>
      </w:pPr>
      <w:r>
        <w:t>Dale Corp, successfully patented a medical diagnostic machine. Five years after receiving the patent, Dale was legally challenged by Bisk Corp., which had a similar machine. Dale spent $600,000 to successfully defend the patent. How should Dale treat the $600,000?</w:t>
      </w:r>
    </w:p>
    <w:p>
      <w:pPr>
        <w:pStyle w:val="9"/>
        <w:numPr>
          <w:ilvl w:val="0"/>
          <w:numId w:val="10"/>
        </w:numPr>
        <w:tabs>
          <w:tab w:val="left" w:pos="605"/>
        </w:tabs>
      </w:pPr>
      <w:bookmarkStart w:id="38" w:name="bookmark39"/>
      <w:bookmarkEnd w:id="38"/>
      <w:r>
        <w:t>Record it as a research and development expense.</w:t>
      </w:r>
    </w:p>
    <w:p>
      <w:pPr>
        <w:pStyle w:val="9"/>
        <w:numPr>
          <w:ilvl w:val="0"/>
          <w:numId w:val="10"/>
        </w:numPr>
        <w:tabs>
          <w:tab w:val="left" w:pos="605"/>
        </w:tabs>
      </w:pPr>
      <w:bookmarkStart w:id="39" w:name="bookmark40"/>
      <w:bookmarkEnd w:id="39"/>
      <w:r>
        <w:t>Create a separate intangible account and amortize it.</w:t>
      </w:r>
    </w:p>
    <w:p>
      <w:pPr>
        <w:pStyle w:val="9"/>
        <w:numPr>
          <w:ilvl w:val="0"/>
          <w:numId w:val="10"/>
        </w:numPr>
        <w:tabs>
          <w:tab w:val="left" w:pos="605"/>
        </w:tabs>
      </w:pPr>
      <w:bookmarkStart w:id="40" w:name="bookmark41"/>
      <w:bookmarkEnd w:id="40"/>
      <w:r>
        <w:t>Debit the patent account and amortize it.</w:t>
      </w:r>
    </w:p>
    <w:p>
      <w:pPr>
        <w:pStyle w:val="9"/>
        <w:numPr>
          <w:ilvl w:val="0"/>
          <w:numId w:val="10"/>
        </w:numPr>
        <w:tabs>
          <w:tab w:val="left" w:pos="605"/>
        </w:tabs>
      </w:pPr>
      <w:bookmarkStart w:id="41" w:name="bookmark42"/>
      <w:bookmarkEnd w:id="41"/>
      <w:r>
        <w:t>Reduce the stockholders' equity by a prior period adjustment.</w:t>
      </w:r>
    </w:p>
    <w:p>
      <w:pPr>
        <w:pStyle w:val="9"/>
        <w:spacing w:after="100"/>
      </w:pPr>
      <w:r>
        <w:rPr>
          <w:b/>
          <w:bCs/>
        </w:rPr>
        <w:t>ANSWER:</w:t>
      </w:r>
    </w:p>
    <w:p>
      <w:pPr>
        <w:pStyle w:val="9"/>
        <w:spacing w:after="100"/>
      </w:pPr>
      <w:r>
        <w:t xml:space="preserve">Choice "C" is correct. When an existing patent is purchased from another party, that cost is capitalized (while an internally generated patent, most costs be expenses). Legal costs to defend an existing patent will be capitalized if the legal proceedings are successful and will be expensed if the legal proceedings are unsuccessful. Since a purchase patent is an intangible asset, the patent account be amortized each year. </w:t>
      </w:r>
    </w:p>
    <w:p>
      <w:pPr>
        <w:widowControl/>
        <w:rPr>
          <w:sz w:val="22"/>
          <w:szCs w:val="22"/>
        </w:rPr>
      </w:pPr>
      <w:r>
        <w:br w:type="page"/>
      </w:r>
    </w:p>
    <w:p>
      <w:pPr>
        <w:pStyle w:val="9"/>
        <w:numPr>
          <w:ilvl w:val="0"/>
          <w:numId w:val="7"/>
        </w:numPr>
        <w:tabs>
          <w:tab w:val="left" w:pos="378"/>
        </w:tabs>
        <w:spacing w:before="680" w:after="60"/>
        <w:ind w:hanging="360"/>
        <w:rPr>
          <w:b/>
          <w:bCs/>
        </w:rPr>
      </w:pPr>
      <w:bookmarkStart w:id="42" w:name="bookmark43"/>
      <w:bookmarkEnd w:id="42"/>
      <w:r>
        <w:rPr>
          <w:b/>
          <w:bCs/>
        </w:rPr>
        <w:t>MCQ-14839</w:t>
      </w:r>
    </w:p>
    <w:p>
      <w:pPr>
        <w:pStyle w:val="9"/>
        <w:spacing w:line="233" w:lineRule="auto"/>
      </w:pPr>
      <w:r>
        <w:t>Which of the following statements describes the relationship of interest expense related to bonds payable when a discount on bonds payable has been recorded using the effective interest method?</w:t>
      </w:r>
    </w:p>
    <w:p>
      <w:pPr>
        <w:pStyle w:val="9"/>
        <w:numPr>
          <w:ilvl w:val="0"/>
          <w:numId w:val="11"/>
        </w:numPr>
        <w:tabs>
          <w:tab w:val="left" w:pos="557"/>
        </w:tabs>
        <w:spacing w:line="233" w:lineRule="auto"/>
      </w:pPr>
      <w:bookmarkStart w:id="43" w:name="bookmark44"/>
      <w:bookmarkEnd w:id="43"/>
      <w:r>
        <w:t>Interest expense will be the same each year.</w:t>
      </w:r>
    </w:p>
    <w:p>
      <w:pPr>
        <w:pStyle w:val="9"/>
        <w:numPr>
          <w:ilvl w:val="0"/>
          <w:numId w:val="11"/>
        </w:numPr>
        <w:tabs>
          <w:tab w:val="left" w:pos="557"/>
        </w:tabs>
        <w:spacing w:line="233" w:lineRule="auto"/>
      </w:pPr>
      <w:bookmarkStart w:id="44" w:name="bookmark45"/>
      <w:bookmarkEnd w:id="44"/>
      <w:r>
        <w:t>Interest expense will decrease each year.</w:t>
      </w:r>
    </w:p>
    <w:p>
      <w:pPr>
        <w:pStyle w:val="9"/>
        <w:numPr>
          <w:ilvl w:val="0"/>
          <w:numId w:val="11"/>
        </w:numPr>
        <w:tabs>
          <w:tab w:val="left" w:pos="557"/>
        </w:tabs>
        <w:spacing w:line="233" w:lineRule="auto"/>
      </w:pPr>
      <w:bookmarkStart w:id="45" w:name="bookmark46"/>
      <w:bookmarkEnd w:id="45"/>
      <w:r>
        <w:t>Interest expense will increase by the same amount each year.</w:t>
      </w:r>
    </w:p>
    <w:p>
      <w:pPr>
        <w:pStyle w:val="9"/>
        <w:numPr>
          <w:ilvl w:val="0"/>
          <w:numId w:val="11"/>
        </w:numPr>
        <w:tabs>
          <w:tab w:val="left" w:pos="557"/>
        </w:tabs>
        <w:spacing w:line="233" w:lineRule="auto"/>
      </w:pPr>
      <w:bookmarkStart w:id="46" w:name="bookmark47"/>
      <w:bookmarkEnd w:id="46"/>
      <w:r>
        <w:t>Interest expense will increase by a larger amount each year.</w:t>
      </w:r>
    </w:p>
    <w:p>
      <w:pPr>
        <w:pStyle w:val="9"/>
        <w:spacing w:after="60"/>
      </w:pPr>
      <w:r>
        <w:rPr>
          <w:b/>
          <w:bCs/>
        </w:rPr>
        <w:t>ANSWER:</w:t>
      </w:r>
    </w:p>
    <w:p>
      <w:pPr>
        <w:pStyle w:val="9"/>
      </w:pPr>
      <w:r>
        <w:t>Choice "D" is correct. Under the effective interest method, interest expense is calculated by multiplying the carrying value of the bond at the beginning of the period by the effective interest rate. As it is a discount bond, the carrying value of the bond should be closer to its face value, meaning the carrying value of the bond will increase years by years. Thereby, the interest expense will increase by a larger amount since increment of the carrying value of the bond years by years.</w:t>
      </w:r>
    </w:p>
    <w:p>
      <w:pPr>
        <w:pStyle w:val="9"/>
        <w:spacing w:line="233" w:lineRule="auto"/>
      </w:pPr>
      <w:r>
        <w:t xml:space="preserve">Choice "A" is incorrect. Only under a straight-line method, the interest expense will be the same each year. </w:t>
      </w:r>
    </w:p>
    <w:p>
      <w:pPr>
        <w:pStyle w:val="9"/>
        <w:spacing w:line="233" w:lineRule="auto"/>
      </w:pPr>
      <w:r>
        <w:t xml:space="preserve">Choice "B" is incorrect. Interest expense will decrease each year if the bond is a premium bond. </w:t>
      </w:r>
    </w:p>
    <w:p>
      <w:pPr>
        <w:pStyle w:val="9"/>
      </w:pPr>
      <w:r>
        <w:t xml:space="preserve">Choice "C" is incorrect. Interest expense will increase by a larger amount each year. </w:t>
      </w: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pStyle w:val="9"/>
        <w:numPr>
          <w:ilvl w:val="0"/>
          <w:numId w:val="7"/>
        </w:numPr>
        <w:tabs>
          <w:tab w:val="left" w:pos="378"/>
        </w:tabs>
        <w:spacing w:before="680" w:after="60"/>
        <w:ind w:hanging="360"/>
        <w:rPr>
          <w:b/>
          <w:bCs/>
        </w:rPr>
      </w:pPr>
      <w:bookmarkStart w:id="47" w:name="bookmark48"/>
      <w:bookmarkEnd w:id="47"/>
      <w:r>
        <w:rPr>
          <w:b/>
          <w:bCs/>
        </w:rPr>
        <w:t>MCQ-14840</w:t>
      </w:r>
    </w:p>
    <w:p>
      <w:pPr>
        <w:pStyle w:val="9"/>
      </w:pPr>
      <w:r>
        <w:t>Alder Corp, had the following stockholders' equity balances at the beginning of the current year:</w:t>
      </w:r>
    </w:p>
    <w:p>
      <w:pPr>
        <w:pStyle w:val="9"/>
        <w:spacing w:after="0"/>
        <w:ind w:firstLine="780"/>
      </w:pPr>
      <w:r>
        <w:t>Common stock 200,000 shares authorized, $1 par</w:t>
      </w:r>
    </w:p>
    <w:p>
      <w:pPr>
        <w:pStyle w:val="9"/>
        <w:tabs>
          <w:tab w:val="right" w:pos="7567"/>
        </w:tabs>
        <w:spacing w:after="0"/>
        <w:ind w:firstLine="780"/>
      </w:pPr>
      <w:r>
        <w:t>15,000 shares issued and outstanding</w:t>
      </w:r>
      <w:r>
        <w:tab/>
      </w:r>
      <w:r>
        <w:t>$15,000</w:t>
      </w:r>
    </w:p>
    <w:p>
      <w:pPr>
        <w:pStyle w:val="9"/>
        <w:tabs>
          <w:tab w:val="right" w:pos="7567"/>
        </w:tabs>
        <w:spacing w:after="0"/>
        <w:ind w:firstLine="780"/>
      </w:pPr>
      <w:r>
        <w:t>Additional paid-in capital</w:t>
      </w:r>
      <w:r>
        <w:tab/>
      </w:r>
      <w:r>
        <w:t>24,000</w:t>
      </w:r>
    </w:p>
    <w:p>
      <w:pPr>
        <w:pStyle w:val="9"/>
        <w:tabs>
          <w:tab w:val="right" w:pos="7567"/>
        </w:tabs>
        <w:ind w:firstLine="780"/>
      </w:pPr>
      <w:r>
        <w:t>Retained earnings</w:t>
      </w:r>
      <w:r>
        <w:tab/>
      </w:r>
      <w:r>
        <w:t>11,000</w:t>
      </w:r>
    </w:p>
    <w:p>
      <w:pPr>
        <w:pStyle w:val="9"/>
      </w:pPr>
      <w:r>
        <w:t>During the current year, Alder issued 2,000 shares of common stock with a fair value of $35 per share to Terry Brady on a subscription basis. Terry made a down payment of S3,500, but shortly thereafter defaulted on the subscription. What would be the debit to additional paid-in capital if Alder returned the $3,500 to Terry?</w:t>
      </w:r>
    </w:p>
    <w:p>
      <w:pPr>
        <w:pStyle w:val="9"/>
        <w:numPr>
          <w:ilvl w:val="0"/>
          <w:numId w:val="12"/>
        </w:numPr>
        <w:tabs>
          <w:tab w:val="left" w:pos="561"/>
        </w:tabs>
      </w:pPr>
      <w:bookmarkStart w:id="48" w:name="bookmark49"/>
      <w:bookmarkEnd w:id="48"/>
      <w:r>
        <w:t>$73,500</w:t>
      </w:r>
    </w:p>
    <w:p>
      <w:pPr>
        <w:pStyle w:val="9"/>
        <w:numPr>
          <w:ilvl w:val="0"/>
          <w:numId w:val="12"/>
        </w:numPr>
        <w:tabs>
          <w:tab w:val="left" w:pos="561"/>
        </w:tabs>
      </w:pPr>
      <w:bookmarkStart w:id="49" w:name="bookmark50"/>
      <w:bookmarkEnd w:id="49"/>
      <w:r>
        <w:t>$70,000</w:t>
      </w:r>
    </w:p>
    <w:p>
      <w:pPr>
        <w:pStyle w:val="9"/>
        <w:numPr>
          <w:ilvl w:val="0"/>
          <w:numId w:val="12"/>
        </w:numPr>
        <w:tabs>
          <w:tab w:val="left" w:pos="561"/>
        </w:tabs>
      </w:pPr>
      <w:bookmarkStart w:id="50" w:name="bookmark51"/>
      <w:bookmarkEnd w:id="50"/>
      <w:r>
        <w:t>$68,000</w:t>
      </w:r>
    </w:p>
    <w:p>
      <w:pPr>
        <w:pStyle w:val="9"/>
        <w:numPr>
          <w:ilvl w:val="0"/>
          <w:numId w:val="12"/>
        </w:numPr>
        <w:tabs>
          <w:tab w:val="left" w:pos="561"/>
        </w:tabs>
        <w:spacing w:after="80"/>
        <w:ind w:firstLine="140"/>
      </w:pPr>
      <w:bookmarkStart w:id="51" w:name="bookmark52"/>
      <w:bookmarkEnd w:id="51"/>
      <w:r>
        <w:t>S66.500</w:t>
      </w:r>
    </w:p>
    <w:p>
      <w:pPr>
        <w:pStyle w:val="9"/>
        <w:tabs>
          <w:tab w:val="left" w:pos="561"/>
        </w:tabs>
        <w:spacing w:after="80"/>
      </w:pPr>
    </w:p>
    <w:p>
      <w:pPr>
        <w:pStyle w:val="9"/>
        <w:tabs>
          <w:tab w:val="left" w:pos="561"/>
        </w:tabs>
        <w:spacing w:after="80"/>
      </w:pPr>
      <w:r>
        <w:rPr>
          <w:b/>
          <w:bCs/>
        </w:rPr>
        <w:t>ANSWER:</w:t>
      </w:r>
    </w:p>
    <w:p>
      <w:pPr>
        <w:pStyle w:val="9"/>
        <w:spacing w:after="80"/>
        <w:ind w:firstLine="140"/>
      </w:pPr>
      <w:r>
        <w:t>Choice "C</w:t>
      </w:r>
      <w:r>
        <w:rPr>
          <w:vertAlign w:val="superscript"/>
        </w:rPr>
        <w:t>”</w:t>
      </w:r>
      <w:r>
        <w:t xml:space="preserve"> is correct. Stock subscriptions are a mechanism for allowing employees and investors to consistently purchase shares of company stock over a long period of time, usually at a price that does not include a broker commission. Following are journal entries for Alder Corp.:</w:t>
      </w:r>
    </w:p>
    <w:p>
      <w:pPr>
        <w:pStyle w:val="9"/>
        <w:spacing w:after="80"/>
        <w:ind w:firstLine="140"/>
      </w:pPr>
      <w:r>
        <w:t xml:space="preserve">When Alder issue the stocks to Terry Brady: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91"/>
        <w:gridCol w:w="2539"/>
        <w:gridCol w:w="2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pPr>
          </w:p>
        </w:tc>
        <w:tc>
          <w:tcPr>
            <w:tcW w:w="2790" w:type="dxa"/>
          </w:tcPr>
          <w:p>
            <w:pPr>
              <w:pStyle w:val="9"/>
              <w:spacing w:after="80"/>
              <w:jc w:val="right"/>
            </w:pPr>
            <w:r>
              <w:t>Debt</w:t>
            </w:r>
          </w:p>
        </w:tc>
        <w:tc>
          <w:tcPr>
            <w:tcW w:w="2422" w:type="dxa"/>
          </w:tcPr>
          <w:p>
            <w:pPr>
              <w:pStyle w:val="9"/>
              <w:spacing w:after="80"/>
              <w:jc w:val="right"/>
            </w:pPr>
            <w:r>
              <w:t>Credit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pPr>
            <w:r>
              <w:t xml:space="preserve">Subscriptions receivable ($35 </w:t>
            </w:r>
            <w:r>
              <w:rPr>
                <w:i/>
                <w:iCs/>
                <w:sz w:val="24"/>
                <w:szCs w:val="24"/>
              </w:rPr>
              <w:t>x</w:t>
            </w:r>
            <w:r>
              <w:t xml:space="preserve"> 2,000 shares)</w:t>
            </w:r>
          </w:p>
        </w:tc>
        <w:tc>
          <w:tcPr>
            <w:tcW w:w="2790" w:type="dxa"/>
          </w:tcPr>
          <w:p>
            <w:pPr>
              <w:pStyle w:val="9"/>
              <w:spacing w:after="80"/>
              <w:jc w:val="right"/>
            </w:pPr>
            <w:r>
              <w:t>$70,000</w:t>
            </w:r>
          </w:p>
        </w:tc>
        <w:tc>
          <w:tcPr>
            <w:tcW w:w="2422" w:type="dxa"/>
          </w:tcPr>
          <w:p>
            <w:pPr>
              <w:pStyle w:val="9"/>
              <w:spacing w:after="80"/>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ind w:left="429"/>
            </w:pPr>
            <w:r>
              <w:t>Common stock subscribed ($1 x 2,000 shares)</w:t>
            </w:r>
          </w:p>
        </w:tc>
        <w:tc>
          <w:tcPr>
            <w:tcW w:w="2790" w:type="dxa"/>
          </w:tcPr>
          <w:p>
            <w:pPr>
              <w:pStyle w:val="9"/>
              <w:spacing w:after="80"/>
              <w:jc w:val="right"/>
            </w:pPr>
          </w:p>
        </w:tc>
        <w:tc>
          <w:tcPr>
            <w:tcW w:w="2422" w:type="dxa"/>
          </w:tcPr>
          <w:p>
            <w:pPr>
              <w:pStyle w:val="9"/>
              <w:spacing w:after="80"/>
              <w:jc w:val="right"/>
            </w:pPr>
            <w: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ind w:left="429"/>
            </w:pPr>
            <w:r>
              <w:t>Additional paid-in capital</w:t>
            </w:r>
          </w:p>
        </w:tc>
        <w:tc>
          <w:tcPr>
            <w:tcW w:w="2790" w:type="dxa"/>
          </w:tcPr>
          <w:p>
            <w:pPr>
              <w:pStyle w:val="9"/>
              <w:spacing w:after="80"/>
              <w:jc w:val="right"/>
            </w:pPr>
          </w:p>
        </w:tc>
        <w:tc>
          <w:tcPr>
            <w:tcW w:w="2422" w:type="dxa"/>
          </w:tcPr>
          <w:p>
            <w:pPr>
              <w:pStyle w:val="9"/>
              <w:spacing w:after="80"/>
              <w:jc w:val="right"/>
            </w:pPr>
            <w:r>
              <w:t>68,000</w:t>
            </w:r>
          </w:p>
        </w:tc>
      </w:tr>
    </w:tbl>
    <w:p>
      <w:pPr>
        <w:pStyle w:val="9"/>
        <w:spacing w:after="80"/>
        <w:ind w:firstLine="140"/>
      </w:pPr>
    </w:p>
    <w:p>
      <w:pPr>
        <w:pStyle w:val="9"/>
        <w:spacing w:after="80"/>
        <w:ind w:firstLine="140"/>
      </w:pPr>
      <w:r>
        <w:t>When Alder received cash from Terry Brady:</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13"/>
        <w:gridCol w:w="2524"/>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pPr>
          </w:p>
        </w:tc>
        <w:tc>
          <w:tcPr>
            <w:tcW w:w="2790" w:type="dxa"/>
          </w:tcPr>
          <w:p>
            <w:pPr>
              <w:pStyle w:val="9"/>
              <w:spacing w:after="80"/>
              <w:jc w:val="right"/>
            </w:pPr>
            <w:r>
              <w:t>Debt</w:t>
            </w:r>
          </w:p>
        </w:tc>
        <w:tc>
          <w:tcPr>
            <w:tcW w:w="2422" w:type="dxa"/>
          </w:tcPr>
          <w:p>
            <w:pPr>
              <w:pStyle w:val="9"/>
              <w:spacing w:after="80"/>
              <w:jc w:val="right"/>
            </w:pPr>
            <w:r>
              <w:t>Credit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pPr>
            <w:r>
              <w:t>Cash</w:t>
            </w:r>
          </w:p>
        </w:tc>
        <w:tc>
          <w:tcPr>
            <w:tcW w:w="2790" w:type="dxa"/>
          </w:tcPr>
          <w:p>
            <w:pPr>
              <w:pStyle w:val="9"/>
              <w:spacing w:after="80"/>
              <w:jc w:val="right"/>
            </w:pPr>
            <w:r>
              <w:t>$3</w:t>
            </w:r>
            <w:r>
              <w:rPr>
                <w:rFonts w:hint="eastAsia" w:asciiTheme="minorEastAsia" w:hAnsiTheme="minorEastAsia" w:eastAsiaTheme="minorEastAsia"/>
                <w:lang w:eastAsia="zh-CN"/>
              </w:rPr>
              <w:t>,</w:t>
            </w:r>
            <w:r>
              <w:t>500</w:t>
            </w:r>
          </w:p>
        </w:tc>
        <w:tc>
          <w:tcPr>
            <w:tcW w:w="2422" w:type="dxa"/>
          </w:tcPr>
          <w:p>
            <w:pPr>
              <w:pStyle w:val="9"/>
              <w:spacing w:after="80"/>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ind w:left="429"/>
            </w:pPr>
            <w:r>
              <w:t>Subscriptions receivable</w:t>
            </w:r>
          </w:p>
        </w:tc>
        <w:tc>
          <w:tcPr>
            <w:tcW w:w="2790" w:type="dxa"/>
          </w:tcPr>
          <w:p>
            <w:pPr>
              <w:pStyle w:val="9"/>
              <w:spacing w:after="80"/>
              <w:jc w:val="right"/>
            </w:pPr>
          </w:p>
        </w:tc>
        <w:tc>
          <w:tcPr>
            <w:tcW w:w="2422" w:type="dxa"/>
          </w:tcPr>
          <w:p>
            <w:pPr>
              <w:pStyle w:val="9"/>
              <w:spacing w:after="80"/>
              <w:jc w:val="right"/>
            </w:pPr>
            <w:r>
              <w:t>$3,500</w:t>
            </w:r>
          </w:p>
        </w:tc>
      </w:tr>
    </w:tbl>
    <w:p>
      <w:pPr>
        <w:pStyle w:val="9"/>
        <w:spacing w:after="80"/>
      </w:pPr>
    </w:p>
    <w:p>
      <w:pPr>
        <w:pStyle w:val="9"/>
        <w:spacing w:after="80"/>
        <w:ind w:firstLine="140"/>
      </w:pPr>
      <w:r>
        <w:t>When Terry Brady returned the stocks:</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2"/>
        <w:gridCol w:w="2525"/>
        <w:gridCol w:w="2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pPr>
          </w:p>
        </w:tc>
        <w:tc>
          <w:tcPr>
            <w:tcW w:w="2790" w:type="dxa"/>
          </w:tcPr>
          <w:p>
            <w:pPr>
              <w:pStyle w:val="9"/>
              <w:spacing w:after="80"/>
              <w:jc w:val="right"/>
            </w:pPr>
            <w:r>
              <w:t>Debt</w:t>
            </w:r>
          </w:p>
        </w:tc>
        <w:tc>
          <w:tcPr>
            <w:tcW w:w="2422" w:type="dxa"/>
          </w:tcPr>
          <w:p>
            <w:pPr>
              <w:pStyle w:val="9"/>
              <w:spacing w:after="80"/>
              <w:jc w:val="right"/>
            </w:pPr>
            <w:r>
              <w:t>Credit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pPr>
            <w:r>
              <w:t>Additional paid-in capital</w:t>
            </w:r>
          </w:p>
        </w:tc>
        <w:tc>
          <w:tcPr>
            <w:tcW w:w="2790" w:type="dxa"/>
          </w:tcPr>
          <w:p>
            <w:pPr>
              <w:pStyle w:val="9"/>
              <w:spacing w:after="80"/>
              <w:jc w:val="right"/>
            </w:pPr>
            <w:r>
              <w:t>$68,000</w:t>
            </w:r>
          </w:p>
        </w:tc>
        <w:tc>
          <w:tcPr>
            <w:tcW w:w="2422" w:type="dxa"/>
          </w:tcPr>
          <w:p>
            <w:pPr>
              <w:pStyle w:val="9"/>
              <w:spacing w:after="80"/>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pPr>
            <w:r>
              <w:t>Common stock subscribed</w:t>
            </w:r>
          </w:p>
        </w:tc>
        <w:tc>
          <w:tcPr>
            <w:tcW w:w="2790" w:type="dxa"/>
          </w:tcPr>
          <w:p>
            <w:pPr>
              <w:pStyle w:val="9"/>
              <w:spacing w:after="80"/>
              <w:jc w:val="right"/>
            </w:pPr>
            <w:r>
              <w:t>2,000</w:t>
            </w:r>
          </w:p>
        </w:tc>
        <w:tc>
          <w:tcPr>
            <w:tcW w:w="2422" w:type="dxa"/>
          </w:tcPr>
          <w:p>
            <w:pPr>
              <w:pStyle w:val="9"/>
              <w:spacing w:after="80"/>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ind w:left="429"/>
            </w:pPr>
            <w:r>
              <w:t>Subscriptions receivable</w:t>
            </w:r>
          </w:p>
        </w:tc>
        <w:tc>
          <w:tcPr>
            <w:tcW w:w="2790" w:type="dxa"/>
          </w:tcPr>
          <w:p>
            <w:pPr>
              <w:pStyle w:val="9"/>
              <w:spacing w:after="80"/>
              <w:jc w:val="right"/>
            </w:pPr>
          </w:p>
        </w:tc>
        <w:tc>
          <w:tcPr>
            <w:tcW w:w="2422" w:type="dxa"/>
          </w:tcPr>
          <w:p>
            <w:pPr>
              <w:pStyle w:val="9"/>
              <w:spacing w:after="80"/>
              <w:jc w:val="right"/>
            </w:pPr>
            <w:r>
              <w:t>$66,500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45" w:type="dxa"/>
          </w:tcPr>
          <w:p>
            <w:pPr>
              <w:pStyle w:val="9"/>
              <w:spacing w:after="80"/>
              <w:ind w:left="429"/>
            </w:pPr>
            <w:r>
              <w:t>Cash</w:t>
            </w:r>
          </w:p>
        </w:tc>
        <w:tc>
          <w:tcPr>
            <w:tcW w:w="2790" w:type="dxa"/>
          </w:tcPr>
          <w:p>
            <w:pPr>
              <w:pStyle w:val="9"/>
              <w:spacing w:after="80"/>
              <w:jc w:val="right"/>
            </w:pPr>
          </w:p>
        </w:tc>
        <w:tc>
          <w:tcPr>
            <w:tcW w:w="2422" w:type="dxa"/>
          </w:tcPr>
          <w:p>
            <w:pPr>
              <w:pStyle w:val="9"/>
              <w:spacing w:after="80"/>
              <w:jc w:val="right"/>
            </w:pPr>
            <w:r>
              <w:t>3,500</w:t>
            </w:r>
          </w:p>
        </w:tc>
      </w:tr>
    </w:tbl>
    <w:p>
      <w:pPr>
        <w:pStyle w:val="9"/>
        <w:spacing w:after="80"/>
        <w:ind w:firstLine="140"/>
      </w:pPr>
      <w:r>
        <w:t xml:space="preserve">When Alder returns $3,500 to Terry, Alder should debt $68,000 in additional paid-in capital account.  </w:t>
      </w:r>
    </w:p>
    <w:p>
      <w:pPr>
        <w:pStyle w:val="9"/>
        <w:spacing w:after="80"/>
        <w:ind w:firstLine="140"/>
      </w:pPr>
    </w:p>
    <w:p>
      <w:pPr>
        <w:pStyle w:val="9"/>
        <w:spacing w:after="80"/>
        <w:ind w:firstLine="140"/>
      </w:pPr>
    </w:p>
    <w:p>
      <w:pPr>
        <w:pStyle w:val="9"/>
        <w:spacing w:after="80"/>
        <w:ind w:firstLine="140"/>
      </w:pPr>
    </w:p>
    <w:p>
      <w:pPr>
        <w:pStyle w:val="9"/>
        <w:spacing w:after="80"/>
        <w:ind w:firstLine="140"/>
      </w:pPr>
    </w:p>
    <w:p>
      <w:pPr>
        <w:pStyle w:val="9"/>
        <w:spacing w:after="80"/>
        <w:ind w:firstLine="140"/>
      </w:pPr>
    </w:p>
    <w:p>
      <w:pPr>
        <w:pStyle w:val="9"/>
        <w:numPr>
          <w:ilvl w:val="0"/>
          <w:numId w:val="7"/>
        </w:numPr>
        <w:tabs>
          <w:tab w:val="left" w:pos="378"/>
        </w:tabs>
        <w:spacing w:before="680" w:after="60"/>
        <w:ind w:hanging="360"/>
        <w:rPr>
          <w:b/>
          <w:bCs/>
        </w:rPr>
      </w:pPr>
      <w:bookmarkStart w:id="52" w:name="bookmark53"/>
      <w:bookmarkEnd w:id="52"/>
      <w:r>
        <w:rPr>
          <w:b/>
          <w:bCs/>
        </w:rPr>
        <w:t>MCQ-14841</w:t>
      </w:r>
    </w:p>
    <w:p>
      <w:pPr>
        <w:pStyle w:val="9"/>
        <w:spacing w:after="140" w:line="233" w:lineRule="auto"/>
      </w:pPr>
      <w:r>
        <w:t>Nelson Corp, paid $1,000,000 cash to purchase 100 percent of the outstanding common stock of Orange Corp, on April 1 of the current year. Examination of Orange's assets and liabilities reveals the following:</w:t>
      </w:r>
    </w:p>
    <w:tbl>
      <w:tblPr>
        <w:tblStyle w:val="5"/>
        <w:tblW w:w="0" w:type="auto"/>
        <w:jc w:val="center"/>
        <w:tblLayout w:type="fixed"/>
        <w:tblCellMar>
          <w:top w:w="0" w:type="dxa"/>
          <w:left w:w="10" w:type="dxa"/>
          <w:bottom w:w="0" w:type="dxa"/>
          <w:right w:w="10" w:type="dxa"/>
        </w:tblCellMar>
      </w:tblPr>
      <w:tblGrid>
        <w:gridCol w:w="2624"/>
        <w:gridCol w:w="2014"/>
        <w:gridCol w:w="2270"/>
      </w:tblGrid>
      <w:tr>
        <w:tblPrEx>
          <w:tblCellMar>
            <w:top w:w="0" w:type="dxa"/>
            <w:left w:w="10" w:type="dxa"/>
            <w:bottom w:w="0" w:type="dxa"/>
            <w:right w:w="10" w:type="dxa"/>
          </w:tblCellMar>
        </w:tblPrEx>
        <w:trPr>
          <w:trHeight w:val="281" w:hRule="exact"/>
          <w:jc w:val="center"/>
        </w:trPr>
        <w:tc>
          <w:tcPr>
            <w:tcW w:w="2624" w:type="dxa"/>
            <w:shd w:val="clear" w:color="auto" w:fill="FFFFFF"/>
          </w:tcPr>
          <w:p>
            <w:pPr>
              <w:rPr>
                <w:sz w:val="10"/>
                <w:szCs w:val="10"/>
              </w:rPr>
            </w:pPr>
          </w:p>
        </w:tc>
        <w:tc>
          <w:tcPr>
            <w:tcW w:w="2014" w:type="dxa"/>
            <w:shd w:val="clear" w:color="auto" w:fill="FFFFFF"/>
          </w:tcPr>
          <w:p>
            <w:pPr>
              <w:pStyle w:val="11"/>
              <w:spacing w:after="0"/>
              <w:ind w:firstLine="600"/>
              <w:rPr>
                <w:sz w:val="24"/>
                <w:szCs w:val="24"/>
              </w:rPr>
            </w:pPr>
            <w:r>
              <w:rPr>
                <w:i/>
                <w:iCs/>
                <w:sz w:val="24"/>
                <w:szCs w:val="24"/>
                <w:u w:val="single"/>
              </w:rPr>
              <w:t>Book value</w:t>
            </w:r>
          </w:p>
        </w:tc>
        <w:tc>
          <w:tcPr>
            <w:tcW w:w="2270" w:type="dxa"/>
            <w:shd w:val="clear" w:color="auto" w:fill="FFFFFF"/>
          </w:tcPr>
          <w:p>
            <w:pPr>
              <w:pStyle w:val="11"/>
              <w:spacing w:after="0"/>
              <w:ind w:firstLine="320"/>
              <w:jc w:val="both"/>
              <w:rPr>
                <w:sz w:val="24"/>
                <w:szCs w:val="24"/>
              </w:rPr>
            </w:pPr>
            <w:r>
              <w:rPr>
                <w:i/>
                <w:iCs/>
                <w:sz w:val="24"/>
                <w:szCs w:val="24"/>
                <w:u w:val="single"/>
              </w:rPr>
              <w:t>Fair value on April 1</w:t>
            </w:r>
          </w:p>
        </w:tc>
      </w:tr>
      <w:tr>
        <w:tblPrEx>
          <w:tblCellMar>
            <w:top w:w="0" w:type="dxa"/>
            <w:left w:w="10" w:type="dxa"/>
            <w:bottom w:w="0" w:type="dxa"/>
            <w:right w:w="10" w:type="dxa"/>
          </w:tblCellMar>
        </w:tblPrEx>
        <w:trPr>
          <w:trHeight w:val="391" w:hRule="exact"/>
          <w:jc w:val="center"/>
        </w:trPr>
        <w:tc>
          <w:tcPr>
            <w:tcW w:w="2624" w:type="dxa"/>
            <w:shd w:val="clear" w:color="auto" w:fill="FFFFFF"/>
          </w:tcPr>
          <w:p>
            <w:pPr>
              <w:pStyle w:val="11"/>
              <w:spacing w:after="0"/>
            </w:pPr>
            <w:r>
              <w:t>Cash</w:t>
            </w:r>
          </w:p>
        </w:tc>
        <w:tc>
          <w:tcPr>
            <w:tcW w:w="2014" w:type="dxa"/>
            <w:tcBorders>
              <w:top w:val="single" w:color="auto" w:sz="4" w:space="0"/>
            </w:tcBorders>
            <w:shd w:val="clear" w:color="auto" w:fill="FFFFFF"/>
          </w:tcPr>
          <w:p>
            <w:pPr>
              <w:pStyle w:val="11"/>
              <w:spacing w:after="0"/>
              <w:ind w:firstLine="600"/>
            </w:pPr>
            <w:r>
              <w:t>$100,000</w:t>
            </w:r>
          </w:p>
        </w:tc>
        <w:tc>
          <w:tcPr>
            <w:tcW w:w="2270" w:type="dxa"/>
            <w:tcBorders>
              <w:top w:val="single" w:color="auto" w:sz="4" w:space="0"/>
            </w:tcBorders>
            <w:shd w:val="clear" w:color="auto" w:fill="FFFFFF"/>
          </w:tcPr>
          <w:p>
            <w:pPr>
              <w:pStyle w:val="11"/>
              <w:spacing w:after="0"/>
              <w:ind w:firstLine="780"/>
            </w:pPr>
            <w:r>
              <w:t>$100,000</w:t>
            </w:r>
          </w:p>
        </w:tc>
      </w:tr>
      <w:tr>
        <w:tblPrEx>
          <w:tblCellMar>
            <w:top w:w="0" w:type="dxa"/>
            <w:left w:w="10" w:type="dxa"/>
            <w:bottom w:w="0" w:type="dxa"/>
            <w:right w:w="10" w:type="dxa"/>
          </w:tblCellMar>
        </w:tblPrEx>
        <w:trPr>
          <w:trHeight w:val="366" w:hRule="exact"/>
          <w:jc w:val="center"/>
        </w:trPr>
        <w:tc>
          <w:tcPr>
            <w:tcW w:w="2624" w:type="dxa"/>
            <w:shd w:val="clear" w:color="auto" w:fill="FFFFFF"/>
          </w:tcPr>
          <w:p>
            <w:pPr>
              <w:pStyle w:val="11"/>
              <w:spacing w:after="0"/>
            </w:pPr>
            <w:r>
              <w:t>Marketable securities</w:t>
            </w:r>
          </w:p>
        </w:tc>
        <w:tc>
          <w:tcPr>
            <w:tcW w:w="2014" w:type="dxa"/>
            <w:shd w:val="clear" w:color="auto" w:fill="FFFFFF"/>
          </w:tcPr>
          <w:p>
            <w:pPr>
              <w:pStyle w:val="11"/>
              <w:spacing w:after="0"/>
              <w:ind w:firstLine="700"/>
            </w:pPr>
            <w:r>
              <w:t>200,000</w:t>
            </w:r>
          </w:p>
        </w:tc>
        <w:tc>
          <w:tcPr>
            <w:tcW w:w="2270" w:type="dxa"/>
            <w:shd w:val="clear" w:color="auto" w:fill="FFFFFF"/>
          </w:tcPr>
          <w:p>
            <w:pPr>
              <w:pStyle w:val="11"/>
              <w:spacing w:after="0"/>
              <w:ind w:firstLine="920"/>
            </w:pPr>
            <w:r>
              <w:t>250,000</w:t>
            </w:r>
          </w:p>
        </w:tc>
      </w:tr>
      <w:tr>
        <w:tblPrEx>
          <w:tblCellMar>
            <w:top w:w="0" w:type="dxa"/>
            <w:left w:w="10" w:type="dxa"/>
            <w:bottom w:w="0" w:type="dxa"/>
            <w:right w:w="10" w:type="dxa"/>
          </w:tblCellMar>
        </w:tblPrEx>
        <w:trPr>
          <w:trHeight w:val="378" w:hRule="exact"/>
          <w:jc w:val="center"/>
        </w:trPr>
        <w:tc>
          <w:tcPr>
            <w:tcW w:w="2624" w:type="dxa"/>
            <w:shd w:val="clear" w:color="auto" w:fill="FFFFFF"/>
          </w:tcPr>
          <w:p>
            <w:pPr>
              <w:pStyle w:val="11"/>
              <w:spacing w:after="0"/>
            </w:pPr>
            <w:r>
              <w:t>Land</w:t>
            </w:r>
          </w:p>
        </w:tc>
        <w:tc>
          <w:tcPr>
            <w:tcW w:w="2014" w:type="dxa"/>
            <w:shd w:val="clear" w:color="auto" w:fill="FFFFFF"/>
          </w:tcPr>
          <w:p>
            <w:pPr>
              <w:pStyle w:val="11"/>
              <w:spacing w:after="0"/>
              <w:jc w:val="center"/>
            </w:pPr>
            <w:r>
              <w:t>50.000</w:t>
            </w:r>
          </w:p>
        </w:tc>
        <w:tc>
          <w:tcPr>
            <w:tcW w:w="2270" w:type="dxa"/>
            <w:shd w:val="clear" w:color="auto" w:fill="FFFFFF"/>
          </w:tcPr>
          <w:p>
            <w:pPr>
              <w:pStyle w:val="11"/>
              <w:spacing w:after="0"/>
              <w:ind w:firstLine="920"/>
            </w:pPr>
            <w:r>
              <w:t>300,000</w:t>
            </w:r>
          </w:p>
        </w:tc>
      </w:tr>
      <w:tr>
        <w:tblPrEx>
          <w:tblCellMar>
            <w:top w:w="0" w:type="dxa"/>
            <w:left w:w="10" w:type="dxa"/>
            <w:bottom w:w="0" w:type="dxa"/>
            <w:right w:w="10" w:type="dxa"/>
          </w:tblCellMar>
        </w:tblPrEx>
        <w:trPr>
          <w:trHeight w:val="378" w:hRule="exact"/>
          <w:jc w:val="center"/>
        </w:trPr>
        <w:tc>
          <w:tcPr>
            <w:tcW w:w="2624" w:type="dxa"/>
            <w:shd w:val="clear" w:color="auto" w:fill="FFFFFF"/>
          </w:tcPr>
          <w:p>
            <w:pPr>
              <w:pStyle w:val="11"/>
              <w:spacing w:after="0"/>
            </w:pPr>
            <w:r>
              <w:t>Accounts payable</w:t>
            </w:r>
          </w:p>
        </w:tc>
        <w:tc>
          <w:tcPr>
            <w:tcW w:w="2014" w:type="dxa"/>
            <w:shd w:val="clear" w:color="auto" w:fill="FFFFFF"/>
          </w:tcPr>
          <w:p>
            <w:pPr>
              <w:pStyle w:val="11"/>
              <w:spacing w:after="0"/>
              <w:jc w:val="center"/>
            </w:pPr>
            <w:r>
              <w:t>75.000</w:t>
            </w:r>
          </w:p>
        </w:tc>
        <w:tc>
          <w:tcPr>
            <w:tcW w:w="2270" w:type="dxa"/>
            <w:shd w:val="clear" w:color="auto" w:fill="FFFFFF"/>
          </w:tcPr>
          <w:p>
            <w:pPr>
              <w:pStyle w:val="11"/>
              <w:spacing w:after="0"/>
              <w:ind w:left="1040"/>
            </w:pPr>
            <w:r>
              <w:t>75,000</w:t>
            </w:r>
          </w:p>
        </w:tc>
      </w:tr>
      <w:tr>
        <w:tblPrEx>
          <w:tblCellMar>
            <w:top w:w="0" w:type="dxa"/>
            <w:left w:w="10" w:type="dxa"/>
            <w:bottom w:w="0" w:type="dxa"/>
            <w:right w:w="10" w:type="dxa"/>
          </w:tblCellMar>
        </w:tblPrEx>
        <w:trPr>
          <w:trHeight w:val="317" w:hRule="exact"/>
          <w:jc w:val="center"/>
        </w:trPr>
        <w:tc>
          <w:tcPr>
            <w:tcW w:w="2624" w:type="dxa"/>
            <w:shd w:val="clear" w:color="auto" w:fill="FFFFFF"/>
            <w:vAlign w:val="bottom"/>
          </w:tcPr>
          <w:p>
            <w:pPr>
              <w:pStyle w:val="11"/>
              <w:spacing w:after="0"/>
            </w:pPr>
            <w:r>
              <w:t>Stockholder equity</w:t>
            </w:r>
          </w:p>
        </w:tc>
        <w:tc>
          <w:tcPr>
            <w:tcW w:w="2014" w:type="dxa"/>
            <w:shd w:val="clear" w:color="auto" w:fill="FFFFFF"/>
            <w:vAlign w:val="bottom"/>
          </w:tcPr>
          <w:p>
            <w:pPr>
              <w:pStyle w:val="11"/>
              <w:spacing w:after="0"/>
              <w:ind w:firstLine="700"/>
            </w:pPr>
            <w:r>
              <w:t>275,000</w:t>
            </w:r>
          </w:p>
        </w:tc>
        <w:tc>
          <w:tcPr>
            <w:tcW w:w="2270" w:type="dxa"/>
            <w:shd w:val="clear" w:color="auto" w:fill="FFFFFF"/>
          </w:tcPr>
          <w:p>
            <w:pPr>
              <w:rPr>
                <w:sz w:val="10"/>
                <w:szCs w:val="10"/>
              </w:rPr>
            </w:pPr>
          </w:p>
        </w:tc>
      </w:tr>
    </w:tbl>
    <w:p>
      <w:pPr>
        <w:spacing w:after="99" w:line="1" w:lineRule="exact"/>
      </w:pPr>
    </w:p>
    <w:p>
      <w:pPr>
        <w:pStyle w:val="9"/>
        <w:spacing w:after="100"/>
      </w:pPr>
      <w:r>
        <w:t>Nelson should record what amount of goodwill as a result of this acquisition?</w:t>
      </w:r>
    </w:p>
    <w:p>
      <w:pPr>
        <w:pStyle w:val="9"/>
        <w:numPr>
          <w:ilvl w:val="0"/>
          <w:numId w:val="13"/>
        </w:numPr>
        <w:tabs>
          <w:tab w:val="left" w:pos="530"/>
        </w:tabs>
        <w:spacing w:after="100"/>
      </w:pPr>
      <w:bookmarkStart w:id="53" w:name="bookmark54"/>
      <w:bookmarkEnd w:id="53"/>
      <w:r>
        <w:t>S350.000</w:t>
      </w:r>
    </w:p>
    <w:p>
      <w:pPr>
        <w:pStyle w:val="9"/>
        <w:numPr>
          <w:ilvl w:val="0"/>
          <w:numId w:val="13"/>
        </w:numPr>
        <w:tabs>
          <w:tab w:val="left" w:pos="530"/>
        </w:tabs>
        <w:spacing w:after="100"/>
      </w:pPr>
      <w:bookmarkStart w:id="54" w:name="bookmark55"/>
      <w:bookmarkEnd w:id="54"/>
      <w:r>
        <w:t>$425,000</w:t>
      </w:r>
    </w:p>
    <w:p>
      <w:pPr>
        <w:pStyle w:val="9"/>
        <w:numPr>
          <w:ilvl w:val="0"/>
          <w:numId w:val="13"/>
        </w:numPr>
        <w:tabs>
          <w:tab w:val="left" w:pos="530"/>
        </w:tabs>
        <w:spacing w:after="100"/>
      </w:pPr>
      <w:bookmarkStart w:id="55" w:name="bookmark56"/>
      <w:bookmarkEnd w:id="55"/>
      <w:r>
        <w:t>$725,000</w:t>
      </w:r>
    </w:p>
    <w:p>
      <w:pPr>
        <w:pStyle w:val="9"/>
        <w:tabs>
          <w:tab w:val="left" w:pos="530"/>
        </w:tabs>
        <w:spacing w:after="100"/>
      </w:pPr>
      <w:r>
        <w:t>D</w:t>
      </w:r>
      <w:r>
        <w:tab/>
      </w:r>
      <w:r>
        <w:t>S1.000.000</w:t>
      </w:r>
    </w:p>
    <w:p>
      <w:pPr>
        <w:pStyle w:val="9"/>
        <w:spacing w:after="100"/>
      </w:pPr>
      <w:r>
        <w:rPr>
          <w:b/>
          <w:bCs/>
        </w:rPr>
        <w:t>ANSWER:</w:t>
      </w:r>
    </w:p>
    <w:p>
      <w:pPr>
        <w:pStyle w:val="9"/>
        <w:spacing w:after="100"/>
      </w:pPr>
      <w:r>
        <w:t xml:space="preserve">Choice "B" is correct. The fair value of the Nelson Corp. will be difference between of the fair market value of its asset and fair market value of its liability. Therefore, the net value of the Nelson Corp, equals to $575,000(cash $100,000+marketable securities $250,000+land $300,000- account payable 75,000). The goodwill represents the intangible resources connected with an entity that cannot be separately identified and reported on the balance sheet. The amount of goodwill the excess of purchase price over fair value of the net asset purchased. The amount of goodwill equals to $425,000(purchase price $1,000,000-FMV of net assets purchased $575,000). </w:t>
      </w: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numPr>
          <w:ilvl w:val="0"/>
          <w:numId w:val="7"/>
        </w:numPr>
        <w:tabs>
          <w:tab w:val="left" w:pos="378"/>
        </w:tabs>
        <w:spacing w:before="680" w:after="60"/>
        <w:ind w:hanging="360"/>
        <w:rPr>
          <w:b/>
          <w:bCs/>
        </w:rPr>
      </w:pPr>
      <w:bookmarkStart w:id="56" w:name="bookmark57"/>
      <w:bookmarkEnd w:id="56"/>
      <w:r>
        <w:rPr>
          <w:b/>
          <w:bCs/>
        </w:rPr>
        <w:t>MCQ-14842</w:t>
      </w:r>
    </w:p>
    <w:p>
      <w:pPr>
        <w:pStyle w:val="9"/>
        <w:spacing w:after="100"/>
        <w:jc w:val="both"/>
      </w:pPr>
      <w:r>
        <w:t>Thompson Corp. owned a machine that cost $80,000 and had accumulated depreciation of $50,000, an estimated salvage value of $5,000, and a fair value of $150,000. In January, the machine was damaged by Snow Corp, and became worthless. In October, a court awarded damages of $150,000 against Snow in favor of Thompson. On December 31, the final outcome of the case was awaiting appeal. Thompson's attorney believes Snow's appeal will be denied. What amount should Thompson accrue for this gain contingency on December 31?</w:t>
      </w:r>
    </w:p>
    <w:p>
      <w:pPr>
        <w:pStyle w:val="9"/>
        <w:numPr>
          <w:ilvl w:val="0"/>
          <w:numId w:val="14"/>
        </w:numPr>
        <w:tabs>
          <w:tab w:val="left" w:pos="551"/>
        </w:tabs>
        <w:spacing w:after="100"/>
        <w:jc w:val="both"/>
      </w:pPr>
      <w:bookmarkStart w:id="57" w:name="bookmark58"/>
      <w:bookmarkEnd w:id="57"/>
      <w:r>
        <w:t>$0</w:t>
      </w:r>
    </w:p>
    <w:p>
      <w:pPr>
        <w:pStyle w:val="9"/>
        <w:numPr>
          <w:ilvl w:val="0"/>
          <w:numId w:val="14"/>
        </w:numPr>
        <w:tabs>
          <w:tab w:val="left" w:pos="551"/>
        </w:tabs>
        <w:spacing w:after="100"/>
        <w:jc w:val="both"/>
      </w:pPr>
      <w:bookmarkStart w:id="58" w:name="bookmark59"/>
      <w:bookmarkEnd w:id="58"/>
      <w:r>
        <w:t>$5,000</w:t>
      </w:r>
    </w:p>
    <w:p>
      <w:pPr>
        <w:pStyle w:val="9"/>
        <w:numPr>
          <w:ilvl w:val="0"/>
          <w:numId w:val="14"/>
        </w:numPr>
        <w:tabs>
          <w:tab w:val="left" w:pos="551"/>
        </w:tabs>
        <w:spacing w:after="100"/>
        <w:jc w:val="both"/>
      </w:pPr>
      <w:bookmarkStart w:id="59" w:name="bookmark60"/>
      <w:bookmarkEnd w:id="59"/>
      <w:r>
        <w:t>$125,000</w:t>
      </w:r>
    </w:p>
    <w:p>
      <w:pPr>
        <w:pStyle w:val="9"/>
        <w:numPr>
          <w:ilvl w:val="0"/>
          <w:numId w:val="14"/>
        </w:numPr>
        <w:tabs>
          <w:tab w:val="left" w:pos="551"/>
        </w:tabs>
        <w:spacing w:after="100"/>
        <w:jc w:val="both"/>
      </w:pPr>
      <w:bookmarkStart w:id="60" w:name="bookmark61"/>
      <w:bookmarkEnd w:id="60"/>
      <w:r>
        <w:t>$150,000</w:t>
      </w:r>
    </w:p>
    <w:p>
      <w:pPr>
        <w:pStyle w:val="9"/>
        <w:tabs>
          <w:tab w:val="left" w:pos="551"/>
        </w:tabs>
        <w:spacing w:after="100"/>
        <w:jc w:val="both"/>
      </w:pPr>
    </w:p>
    <w:p>
      <w:pPr>
        <w:pStyle w:val="9"/>
        <w:spacing w:before="280" w:after="60"/>
        <w:jc w:val="both"/>
      </w:pPr>
      <w:r>
        <w:rPr>
          <w:b/>
          <w:bCs/>
        </w:rPr>
        <w:t>ANSWER:</w:t>
      </w:r>
    </w:p>
    <w:p>
      <w:pPr>
        <w:pStyle w:val="9"/>
      </w:pPr>
      <w:r>
        <w:t xml:space="preserve">Choice "A" is correct. A gain contingency is an uncertain situation that will be resolved in the future, possibly resulting in a gain. Thompson should not recognize any gain contingency prior to the settlement of the underlying event, otherwise violating the conservatism principle. Thereby, no amount should be accrued for the gain contingency.  Instead, Thompson should disclose the nature of the contingency in the notes accompanying the financial statements. However, the disclosure should not make any potentially misleading statements about the likelihood of realization of the contingent gain. </w:t>
      </w:r>
    </w:p>
    <w:p>
      <w:pPr>
        <w:pStyle w:val="9"/>
        <w:tabs>
          <w:tab w:val="left" w:pos="551"/>
        </w:tabs>
        <w:spacing w:after="100"/>
        <w:jc w:val="both"/>
        <w:sectPr>
          <w:pgSz w:w="11900" w:h="16840"/>
          <w:pgMar w:top="1440" w:right="1440" w:bottom="1440" w:left="1440" w:header="432" w:footer="1440" w:gutter="0"/>
          <w:cols w:space="720" w:num="1"/>
          <w:docGrid w:linePitch="360" w:charSpace="0"/>
        </w:sectPr>
      </w:pPr>
    </w:p>
    <w:p>
      <w:pPr>
        <w:pStyle w:val="9"/>
        <w:numPr>
          <w:ilvl w:val="0"/>
          <w:numId w:val="7"/>
        </w:numPr>
        <w:tabs>
          <w:tab w:val="left" w:pos="378"/>
        </w:tabs>
        <w:spacing w:before="680" w:after="60"/>
        <w:ind w:hanging="360"/>
        <w:rPr>
          <w:b/>
          <w:bCs/>
        </w:rPr>
      </w:pPr>
      <w:bookmarkStart w:id="61" w:name="bookmark62"/>
      <w:bookmarkEnd w:id="61"/>
      <w:r>
        <w:rPr>
          <w:b/>
          <w:bCs/>
        </w:rPr>
        <w:t>MCQ-14843</w:t>
      </w:r>
    </w:p>
    <w:p>
      <w:pPr>
        <w:pStyle w:val="9"/>
        <w:spacing w:line="233" w:lineRule="auto"/>
      </w:pPr>
      <w:r>
        <w:t>Arctic Corp., located in India, was a wholly-owned foreign subsidiary of Axis Corp. Arctic's primary economic environment was within the country of India. On a limited basis. Axis made transactions with its subsidiary denominated in U.S. dollars. At year-end, what would be the functional currency for Arctic?</w:t>
      </w:r>
    </w:p>
    <w:p>
      <w:pPr>
        <w:pStyle w:val="9"/>
        <w:numPr>
          <w:ilvl w:val="0"/>
          <w:numId w:val="15"/>
        </w:numPr>
        <w:tabs>
          <w:tab w:val="left" w:pos="564"/>
        </w:tabs>
        <w:spacing w:line="233" w:lineRule="auto"/>
        <w:jc w:val="both"/>
      </w:pPr>
      <w:bookmarkStart w:id="62" w:name="bookmark63"/>
      <w:bookmarkEnd w:id="62"/>
      <w:r>
        <w:t>The U.S. dollar</w:t>
      </w:r>
    </w:p>
    <w:p>
      <w:pPr>
        <w:pStyle w:val="9"/>
        <w:numPr>
          <w:ilvl w:val="0"/>
          <w:numId w:val="15"/>
        </w:numPr>
        <w:tabs>
          <w:tab w:val="left" w:pos="564"/>
        </w:tabs>
        <w:spacing w:line="233" w:lineRule="auto"/>
        <w:jc w:val="both"/>
      </w:pPr>
      <w:bookmarkStart w:id="63" w:name="bookmark64"/>
      <w:bookmarkEnd w:id="63"/>
      <w:r>
        <w:t>The local currency</w:t>
      </w:r>
    </w:p>
    <w:p>
      <w:pPr>
        <w:pStyle w:val="9"/>
        <w:numPr>
          <w:ilvl w:val="0"/>
          <w:numId w:val="15"/>
        </w:numPr>
        <w:tabs>
          <w:tab w:val="left" w:pos="564"/>
        </w:tabs>
        <w:spacing w:line="233" w:lineRule="auto"/>
        <w:jc w:val="both"/>
      </w:pPr>
      <w:bookmarkStart w:id="64" w:name="bookmark65"/>
      <w:bookmarkEnd w:id="64"/>
      <w:r>
        <w:t>Dependent on each transaction</w:t>
      </w:r>
    </w:p>
    <w:p>
      <w:pPr>
        <w:pStyle w:val="9"/>
        <w:numPr>
          <w:ilvl w:val="0"/>
          <w:numId w:val="15"/>
        </w:numPr>
        <w:tabs>
          <w:tab w:val="left" w:pos="564"/>
        </w:tabs>
        <w:spacing w:line="233" w:lineRule="auto"/>
        <w:jc w:val="both"/>
      </w:pPr>
      <w:bookmarkStart w:id="65" w:name="bookmark66"/>
      <w:bookmarkEnd w:id="65"/>
      <w:r>
        <w:t>The parent company's currency</w:t>
      </w:r>
    </w:p>
    <w:p>
      <w:pPr>
        <w:pStyle w:val="9"/>
        <w:spacing w:after="100"/>
        <w:rPr>
          <w:b/>
          <w:bCs/>
        </w:rPr>
      </w:pPr>
      <w:r>
        <w:rPr>
          <w:b/>
          <w:bCs/>
        </w:rPr>
        <w:t>ANSWER:</w:t>
      </w:r>
    </w:p>
    <w:p>
      <w:pPr>
        <w:pStyle w:val="9"/>
        <w:spacing w:after="100"/>
      </w:pPr>
      <w:r>
        <w:t xml:space="preserve">Choice </w:t>
      </w:r>
      <w:r>
        <w:rPr>
          <w:vertAlign w:val="superscript"/>
        </w:rPr>
        <w:t>“</w:t>
      </w:r>
      <w:r>
        <w:t>B" is correct. The functional currency is the currency in which an entity records and measures its transactions</w:t>
      </w:r>
      <w:r>
        <w:rPr>
          <w:rFonts w:ascii="宋体" w:hAnsi="宋体" w:eastAsia="宋体" w:cs="宋体"/>
          <w:lang w:eastAsia="zh-CN"/>
        </w:rPr>
        <w:t>.</w:t>
      </w:r>
      <w:r>
        <w:t xml:space="preserve">It is determined by reference to the currency of the primary economic environment in which that entity operates. Parent company’s currency does not determine the functional currency for a foreign subsidiary. Since Arctic Corp. is located in India and has its primary economic environment in India, the local currency in India should use as the functional currency for Arctic. </w:t>
      </w: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spacing w:after="100"/>
      </w:pPr>
    </w:p>
    <w:p>
      <w:pPr>
        <w:pStyle w:val="9"/>
        <w:numPr>
          <w:ilvl w:val="0"/>
          <w:numId w:val="7"/>
        </w:numPr>
        <w:tabs>
          <w:tab w:val="left" w:pos="378"/>
        </w:tabs>
        <w:spacing w:before="680" w:after="60"/>
        <w:ind w:hanging="360"/>
        <w:rPr>
          <w:b/>
          <w:bCs/>
        </w:rPr>
      </w:pPr>
      <w:bookmarkStart w:id="66" w:name="bookmark67"/>
      <w:bookmarkEnd w:id="66"/>
      <w:r>
        <w:rPr>
          <w:b/>
          <w:bCs/>
        </w:rPr>
        <w:t>MCQ-14844</w:t>
      </w:r>
    </w:p>
    <w:p>
      <w:pPr>
        <w:pStyle w:val="9"/>
      </w:pPr>
      <w:r>
        <w:t>Arc Hospital received an unconditional pledge for $1 million, which will be paid in four installments of $250,000 over four years. What amount of installment pledge revenue should be recognized in the second year?</w:t>
      </w:r>
    </w:p>
    <w:p>
      <w:pPr>
        <w:pStyle w:val="9"/>
        <w:numPr>
          <w:ilvl w:val="0"/>
          <w:numId w:val="16"/>
        </w:numPr>
        <w:tabs>
          <w:tab w:val="left" w:pos="576"/>
        </w:tabs>
      </w:pPr>
      <w:bookmarkStart w:id="67" w:name="bookmark68"/>
      <w:bookmarkEnd w:id="67"/>
      <w:r>
        <w:t>$0</w:t>
      </w:r>
    </w:p>
    <w:p>
      <w:pPr>
        <w:pStyle w:val="9"/>
        <w:numPr>
          <w:ilvl w:val="0"/>
          <w:numId w:val="16"/>
        </w:numPr>
        <w:tabs>
          <w:tab w:val="left" w:pos="576"/>
        </w:tabs>
      </w:pPr>
      <w:bookmarkStart w:id="68" w:name="bookmark69"/>
      <w:bookmarkEnd w:id="68"/>
      <w:r>
        <w:t>$250,000</w:t>
      </w:r>
    </w:p>
    <w:p>
      <w:pPr>
        <w:pStyle w:val="9"/>
        <w:numPr>
          <w:ilvl w:val="0"/>
          <w:numId w:val="16"/>
        </w:numPr>
        <w:tabs>
          <w:tab w:val="left" w:pos="576"/>
        </w:tabs>
      </w:pPr>
      <w:bookmarkStart w:id="69" w:name="bookmark70"/>
      <w:bookmarkEnd w:id="69"/>
      <w:r>
        <w:t>$500,000</w:t>
      </w:r>
    </w:p>
    <w:p>
      <w:pPr>
        <w:pStyle w:val="9"/>
        <w:numPr>
          <w:ilvl w:val="0"/>
          <w:numId w:val="16"/>
        </w:numPr>
        <w:tabs>
          <w:tab w:val="left" w:pos="576"/>
        </w:tabs>
      </w:pPr>
      <w:bookmarkStart w:id="70" w:name="bookmark71"/>
      <w:bookmarkEnd w:id="70"/>
      <w:r>
        <w:t>$1,000,000</w:t>
      </w:r>
    </w:p>
    <w:p>
      <w:pPr>
        <w:pStyle w:val="9"/>
        <w:spacing w:after="100"/>
      </w:pPr>
      <w:r>
        <w:rPr>
          <w:b/>
          <w:bCs/>
        </w:rPr>
        <w:t>ANSWER:</w:t>
      </w:r>
    </w:p>
    <w:p>
      <w:pPr>
        <w:pStyle w:val="9"/>
        <w:spacing w:after="100"/>
      </w:pPr>
      <w:r>
        <w:t xml:space="preserve">Choice "A" is correct. The pledge is considered as a long-term unconditional pledge since it will not be collected within one year. This multiyear pledge should be measured at net present value at the date the pledge is made. Thereby, no pledge revenue recognizes in the second year. The difference between the pledged amount and the present value is recorded as contribution revenue. Long-term unconditional pledges are considered as “donor restricted revenue”, since it is time-restricted. When terms and conditions of the bequest are satisfied, the pledge should be reclassified as “without donor restrictions”. </w:t>
      </w:r>
    </w:p>
    <w:p>
      <w:pPr>
        <w:pStyle w:val="9"/>
        <w:spacing w:after="100"/>
      </w:pPr>
    </w:p>
    <w:p>
      <w:pPr>
        <w:pStyle w:val="9"/>
        <w:rPr>
          <w:rFonts w:hint="eastAsia" w:eastAsia="宋体"/>
          <w:lang w:eastAsia="zh-CN"/>
        </w:rPr>
      </w:pPr>
      <w:r>
        <w:rPr>
          <w:rFonts w:hint="eastAsia" w:eastAsia="宋体"/>
          <w:lang w:eastAsia="zh-CN"/>
        </w:rPr>
        <w:drawing>
          <wp:inline distT="0" distB="0" distL="114300" distR="114300">
            <wp:extent cx="6395085" cy="6395085"/>
            <wp:effectExtent l="0" t="0" r="5715" b="5715"/>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6"/>
                    <a:stretch>
                      <a:fillRect/>
                    </a:stretch>
                  </pic:blipFill>
                  <pic:spPr>
                    <a:xfrm>
                      <a:off x="0" y="0"/>
                      <a:ext cx="6395085" cy="6395085"/>
                    </a:xfrm>
                    <a:prstGeom prst="rect">
                      <a:avLst/>
                    </a:prstGeom>
                  </pic:spPr>
                </pic:pic>
              </a:graphicData>
            </a:graphic>
          </wp:inline>
        </w:drawing>
      </w:r>
    </w:p>
    <w:sectPr>
      <w:pgSz w:w="11900" w:h="16840"/>
      <w:pgMar w:top="630" w:right="935" w:bottom="6104" w:left="885" w:header="5923" w:footer="567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PwC Helvetica Neue">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B5372"/>
    <w:multiLevelType w:val="singleLevel"/>
    <w:tmpl w:val="845B5372"/>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
    <w:nsid w:val="B8CEF35B"/>
    <w:multiLevelType w:val="singleLevel"/>
    <w:tmpl w:val="B8CEF35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
    <w:nsid w:val="D7D140E4"/>
    <w:multiLevelType w:val="singleLevel"/>
    <w:tmpl w:val="D7D140E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3">
    <w:nsid w:val="0CEF100B"/>
    <w:multiLevelType w:val="singleLevel"/>
    <w:tmpl w:val="0CEF100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4">
    <w:nsid w:val="1ACDE60F"/>
    <w:multiLevelType w:val="singleLevel"/>
    <w:tmpl w:val="1ACDE60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5">
    <w:nsid w:val="1B5C465B"/>
    <w:multiLevelType w:val="multilevel"/>
    <w:tmpl w:val="1B5C465B"/>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1C257C7B"/>
    <w:multiLevelType w:val="singleLevel"/>
    <w:tmpl w:val="1C257C7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7">
    <w:nsid w:val="243FCF68"/>
    <w:multiLevelType w:val="singleLevel"/>
    <w:tmpl w:val="243FCF68"/>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8">
    <w:nsid w:val="30FC5B15"/>
    <w:multiLevelType w:val="singleLevel"/>
    <w:tmpl w:val="30FC5B1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9">
    <w:nsid w:val="322D85CA"/>
    <w:multiLevelType w:val="singleLevel"/>
    <w:tmpl w:val="322D85CA"/>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0">
    <w:nsid w:val="4D94DA66"/>
    <w:multiLevelType w:val="singleLevel"/>
    <w:tmpl w:val="4D94DA6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1">
    <w:nsid w:val="5E29AB5A"/>
    <w:multiLevelType w:val="singleLevel"/>
    <w:tmpl w:val="5E29AB5A"/>
    <w:lvl w:ilvl="0" w:tentative="0">
      <w:start w:val="7"/>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2"/>
        <w:szCs w:val="22"/>
        <w:u w:val="none"/>
        <w:shd w:val="clear" w:color="auto" w:fill="FFFFFF"/>
        <w:lang w:val="en-US" w:eastAsia="en-US" w:bidi="en-US"/>
      </w:rPr>
    </w:lvl>
  </w:abstractNum>
  <w:abstractNum w:abstractNumId="12">
    <w:nsid w:val="5FFFB1A7"/>
    <w:multiLevelType w:val="singleLevel"/>
    <w:tmpl w:val="5FFFB1A7"/>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3">
    <w:nsid w:val="65CD0074"/>
    <w:multiLevelType w:val="singleLevel"/>
    <w:tmpl w:val="65CD007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4">
    <w:nsid w:val="74C28B35"/>
    <w:multiLevelType w:val="singleLevel"/>
    <w:tmpl w:val="74C28B3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5">
    <w:nsid w:val="79AA4FA4"/>
    <w:multiLevelType w:val="singleLevel"/>
    <w:tmpl w:val="79AA4FA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num w:numId="1">
    <w:abstractNumId w:val="7"/>
  </w:num>
  <w:num w:numId="2">
    <w:abstractNumId w:val="10"/>
  </w:num>
  <w:num w:numId="3">
    <w:abstractNumId w:val="8"/>
  </w:num>
  <w:num w:numId="4">
    <w:abstractNumId w:val="15"/>
  </w:num>
  <w:num w:numId="5">
    <w:abstractNumId w:val="5"/>
  </w:num>
  <w:num w:numId="6">
    <w:abstractNumId w:val="1"/>
  </w:num>
  <w:num w:numId="7">
    <w:abstractNumId w:val="11"/>
  </w:num>
  <w:num w:numId="8">
    <w:abstractNumId w:val="0"/>
  </w:num>
  <w:num w:numId="9">
    <w:abstractNumId w:val="4"/>
  </w:num>
  <w:num w:numId="10">
    <w:abstractNumId w:val="12"/>
  </w:num>
  <w:num w:numId="11">
    <w:abstractNumId w:val="14"/>
  </w:num>
  <w:num w:numId="12">
    <w:abstractNumId w:val="9"/>
  </w:num>
  <w:num w:numId="13">
    <w:abstractNumId w:val="13"/>
  </w:num>
  <w:num w:numId="14">
    <w:abstractNumId w:val="3"/>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xNzA3MzIwNzliMmZlMmJkYzc1ZWY4OTMxYTg1ZTgifQ=="/>
  </w:docVars>
  <w:rsids>
    <w:rsidRoot w:val="00AB40F5"/>
    <w:rsid w:val="00007041"/>
    <w:rsid w:val="000834BB"/>
    <w:rsid w:val="000956EC"/>
    <w:rsid w:val="000E4356"/>
    <w:rsid w:val="00107F70"/>
    <w:rsid w:val="00117430"/>
    <w:rsid w:val="00123C7E"/>
    <w:rsid w:val="00130100"/>
    <w:rsid w:val="0014360D"/>
    <w:rsid w:val="001A0E7E"/>
    <w:rsid w:val="001E61A0"/>
    <w:rsid w:val="001F0AD8"/>
    <w:rsid w:val="002038B6"/>
    <w:rsid w:val="00204DB6"/>
    <w:rsid w:val="002106B6"/>
    <w:rsid w:val="002157DC"/>
    <w:rsid w:val="002162D4"/>
    <w:rsid w:val="002746CD"/>
    <w:rsid w:val="00291839"/>
    <w:rsid w:val="002B2718"/>
    <w:rsid w:val="002F4FC0"/>
    <w:rsid w:val="00356CBF"/>
    <w:rsid w:val="0037191C"/>
    <w:rsid w:val="00392D0A"/>
    <w:rsid w:val="0039738C"/>
    <w:rsid w:val="003D70AC"/>
    <w:rsid w:val="00402942"/>
    <w:rsid w:val="00440B29"/>
    <w:rsid w:val="0045131F"/>
    <w:rsid w:val="004566F5"/>
    <w:rsid w:val="00486936"/>
    <w:rsid w:val="004A2AAB"/>
    <w:rsid w:val="004B50A1"/>
    <w:rsid w:val="004C02F6"/>
    <w:rsid w:val="004C3696"/>
    <w:rsid w:val="004F38E9"/>
    <w:rsid w:val="00504243"/>
    <w:rsid w:val="00510F9F"/>
    <w:rsid w:val="00514722"/>
    <w:rsid w:val="00531CED"/>
    <w:rsid w:val="00535672"/>
    <w:rsid w:val="0058583F"/>
    <w:rsid w:val="005A0AE1"/>
    <w:rsid w:val="005D2472"/>
    <w:rsid w:val="00615542"/>
    <w:rsid w:val="006168DE"/>
    <w:rsid w:val="006A2924"/>
    <w:rsid w:val="006B0598"/>
    <w:rsid w:val="006C751C"/>
    <w:rsid w:val="006E392B"/>
    <w:rsid w:val="00717465"/>
    <w:rsid w:val="00727F18"/>
    <w:rsid w:val="00765A50"/>
    <w:rsid w:val="0076785B"/>
    <w:rsid w:val="00772BEE"/>
    <w:rsid w:val="00793F16"/>
    <w:rsid w:val="007A280A"/>
    <w:rsid w:val="007D51C8"/>
    <w:rsid w:val="007D5322"/>
    <w:rsid w:val="007F5CF5"/>
    <w:rsid w:val="008070FB"/>
    <w:rsid w:val="008319E9"/>
    <w:rsid w:val="00845D80"/>
    <w:rsid w:val="008720D8"/>
    <w:rsid w:val="008753D3"/>
    <w:rsid w:val="00880055"/>
    <w:rsid w:val="00880F08"/>
    <w:rsid w:val="00887AEB"/>
    <w:rsid w:val="008B4E9D"/>
    <w:rsid w:val="008B57DD"/>
    <w:rsid w:val="008C2451"/>
    <w:rsid w:val="008C7AA7"/>
    <w:rsid w:val="008F4AE2"/>
    <w:rsid w:val="0092005F"/>
    <w:rsid w:val="00921F57"/>
    <w:rsid w:val="009224AD"/>
    <w:rsid w:val="00960D45"/>
    <w:rsid w:val="00964523"/>
    <w:rsid w:val="00967D09"/>
    <w:rsid w:val="00981032"/>
    <w:rsid w:val="009911D6"/>
    <w:rsid w:val="009969BB"/>
    <w:rsid w:val="009A2359"/>
    <w:rsid w:val="009A704F"/>
    <w:rsid w:val="009D24CF"/>
    <w:rsid w:val="00A11D44"/>
    <w:rsid w:val="00A14437"/>
    <w:rsid w:val="00A24C36"/>
    <w:rsid w:val="00A2651A"/>
    <w:rsid w:val="00A2668E"/>
    <w:rsid w:val="00A36DF3"/>
    <w:rsid w:val="00A43BD9"/>
    <w:rsid w:val="00A8061C"/>
    <w:rsid w:val="00A97A29"/>
    <w:rsid w:val="00AA01E1"/>
    <w:rsid w:val="00AA44A1"/>
    <w:rsid w:val="00AA46D9"/>
    <w:rsid w:val="00AB2CFC"/>
    <w:rsid w:val="00AB40F5"/>
    <w:rsid w:val="00AD4313"/>
    <w:rsid w:val="00AE095A"/>
    <w:rsid w:val="00B74C21"/>
    <w:rsid w:val="00B7638B"/>
    <w:rsid w:val="00B84326"/>
    <w:rsid w:val="00B856A0"/>
    <w:rsid w:val="00B86F5A"/>
    <w:rsid w:val="00BA1743"/>
    <w:rsid w:val="00BA1AC6"/>
    <w:rsid w:val="00BC71D9"/>
    <w:rsid w:val="00BF0D26"/>
    <w:rsid w:val="00C1333F"/>
    <w:rsid w:val="00C14121"/>
    <w:rsid w:val="00C22CED"/>
    <w:rsid w:val="00C3686E"/>
    <w:rsid w:val="00C71FF7"/>
    <w:rsid w:val="00CA3CD7"/>
    <w:rsid w:val="00CA620C"/>
    <w:rsid w:val="00CF097C"/>
    <w:rsid w:val="00D0588B"/>
    <w:rsid w:val="00D20858"/>
    <w:rsid w:val="00D269C3"/>
    <w:rsid w:val="00D4365B"/>
    <w:rsid w:val="00D50D49"/>
    <w:rsid w:val="00DA7CCD"/>
    <w:rsid w:val="00DC1711"/>
    <w:rsid w:val="00DF323D"/>
    <w:rsid w:val="00DF5E3D"/>
    <w:rsid w:val="00E00726"/>
    <w:rsid w:val="00E24F9F"/>
    <w:rsid w:val="00E960DC"/>
    <w:rsid w:val="00E9656F"/>
    <w:rsid w:val="00EA4AF3"/>
    <w:rsid w:val="00EA685F"/>
    <w:rsid w:val="00EC5538"/>
    <w:rsid w:val="00ED4E25"/>
    <w:rsid w:val="00EF524A"/>
    <w:rsid w:val="00F31802"/>
    <w:rsid w:val="00F83B17"/>
    <w:rsid w:val="00FA2B34"/>
    <w:rsid w:val="00FC0006"/>
    <w:rsid w:val="00FC6889"/>
    <w:rsid w:val="00FF5C36"/>
    <w:rsid w:val="1A17514F"/>
    <w:rsid w:val="20217CA2"/>
    <w:rsid w:val="2E670373"/>
    <w:rsid w:val="41C57631"/>
    <w:rsid w:val="75022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7"/>
    <w:uiPriority w:val="0"/>
    <w:pPr>
      <w:tabs>
        <w:tab w:val="center" w:pos="4320"/>
        <w:tab w:val="right" w:pos="8640"/>
      </w:tabs>
    </w:pPr>
  </w:style>
  <w:style w:type="paragraph" w:styleId="3">
    <w:name w:val="header"/>
    <w:basedOn w:val="1"/>
    <w:link w:val="16"/>
    <w:uiPriority w:val="0"/>
    <w:pPr>
      <w:tabs>
        <w:tab w:val="center" w:pos="4320"/>
        <w:tab w:val="right" w:pos="8640"/>
      </w:tabs>
    </w:pPr>
  </w:style>
  <w:style w:type="paragraph" w:styleId="4">
    <w:name w:val="Normal (Web)"/>
    <w:basedOn w:val="1"/>
    <w:uiPriority w:val="0"/>
    <w:pPr>
      <w:spacing w:beforeAutospacing="1" w:afterAutospacing="1"/>
    </w:pPr>
    <w:rPr>
      <w:lang w:eastAsia="zh-CN" w:bidi="ar-SA"/>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Body text|1_"/>
    <w:basedOn w:val="7"/>
    <w:link w:val="9"/>
    <w:qFormat/>
    <w:uiPriority w:val="0"/>
    <w:rPr>
      <w:sz w:val="22"/>
      <w:szCs w:val="22"/>
      <w:u w:val="none"/>
      <w:shd w:val="clear" w:color="auto" w:fill="auto"/>
    </w:rPr>
  </w:style>
  <w:style w:type="paragraph" w:customStyle="1" w:styleId="9">
    <w:name w:val="Body text|1"/>
    <w:basedOn w:val="1"/>
    <w:link w:val="8"/>
    <w:uiPriority w:val="0"/>
    <w:pPr>
      <w:spacing w:after="120"/>
    </w:pPr>
    <w:rPr>
      <w:sz w:val="22"/>
      <w:szCs w:val="22"/>
    </w:rPr>
  </w:style>
  <w:style w:type="character" w:customStyle="1" w:styleId="10">
    <w:name w:val="Other|1_"/>
    <w:basedOn w:val="7"/>
    <w:link w:val="11"/>
    <w:qFormat/>
    <w:uiPriority w:val="0"/>
    <w:rPr>
      <w:sz w:val="22"/>
      <w:szCs w:val="22"/>
      <w:u w:val="none"/>
      <w:shd w:val="clear" w:color="auto" w:fill="auto"/>
    </w:rPr>
  </w:style>
  <w:style w:type="paragraph" w:customStyle="1" w:styleId="11">
    <w:name w:val="Other|1"/>
    <w:basedOn w:val="1"/>
    <w:link w:val="10"/>
    <w:qFormat/>
    <w:uiPriority w:val="0"/>
    <w:pPr>
      <w:spacing w:after="120"/>
    </w:pPr>
    <w:rPr>
      <w:sz w:val="22"/>
      <w:szCs w:val="22"/>
    </w:rPr>
  </w:style>
  <w:style w:type="character" w:customStyle="1" w:styleId="12">
    <w:name w:val="Table caption|1_"/>
    <w:basedOn w:val="7"/>
    <w:link w:val="13"/>
    <w:qFormat/>
    <w:uiPriority w:val="0"/>
    <w:rPr>
      <w:sz w:val="22"/>
      <w:szCs w:val="22"/>
      <w:u w:val="none"/>
      <w:shd w:val="clear" w:color="auto" w:fill="auto"/>
    </w:rPr>
  </w:style>
  <w:style w:type="paragraph" w:customStyle="1" w:styleId="13">
    <w:name w:val="Table caption|1"/>
    <w:basedOn w:val="1"/>
    <w:link w:val="12"/>
    <w:qFormat/>
    <w:uiPriority w:val="0"/>
    <w:rPr>
      <w:sz w:val="22"/>
      <w:szCs w:val="22"/>
    </w:rPr>
  </w:style>
  <w:style w:type="character" w:customStyle="1" w:styleId="14">
    <w:name w:val="Body text|2_"/>
    <w:basedOn w:val="7"/>
    <w:link w:val="15"/>
    <w:qFormat/>
    <w:uiPriority w:val="0"/>
    <w:rPr>
      <w:color w:val="000000"/>
      <w:sz w:val="28"/>
      <w:szCs w:val="28"/>
      <w:u w:val="none"/>
      <w:shd w:val="clear" w:color="auto" w:fill="auto"/>
    </w:rPr>
  </w:style>
  <w:style w:type="paragraph" w:customStyle="1" w:styleId="15">
    <w:name w:val="Body text|2"/>
    <w:basedOn w:val="1"/>
    <w:link w:val="14"/>
    <w:qFormat/>
    <w:uiPriority w:val="0"/>
    <w:pPr>
      <w:spacing w:after="120"/>
      <w:ind w:firstLine="600"/>
    </w:pPr>
    <w:rPr>
      <w:sz w:val="28"/>
      <w:szCs w:val="28"/>
    </w:rPr>
  </w:style>
  <w:style w:type="character" w:customStyle="1" w:styleId="16">
    <w:name w:val="Header Char"/>
    <w:basedOn w:val="7"/>
    <w:link w:val="3"/>
    <w:qFormat/>
    <w:uiPriority w:val="0"/>
    <w:rPr>
      <w:rFonts w:eastAsia="Times New Roman"/>
      <w:color w:val="000000"/>
      <w:sz w:val="24"/>
      <w:szCs w:val="24"/>
      <w:lang w:eastAsia="en-US" w:bidi="en-US"/>
    </w:rPr>
  </w:style>
  <w:style w:type="character" w:customStyle="1" w:styleId="17">
    <w:name w:val="Footer Char"/>
    <w:basedOn w:val="7"/>
    <w:link w:val="2"/>
    <w:qFormat/>
    <w:uiPriority w:val="0"/>
    <w:rPr>
      <w:rFonts w:eastAsia="Times New Roman"/>
      <w:color w:val="000000"/>
      <w:sz w:val="24"/>
      <w:szCs w:val="24"/>
      <w:lang w:eastAsia="en-US" w:bidi="en-US"/>
    </w:rPr>
  </w:style>
  <w:style w:type="paragraph" w:customStyle="1" w:styleId="18">
    <w:name w:val="Revision"/>
    <w:hidden/>
    <w:semiHidden/>
    <w:qFormat/>
    <w:uiPriority w:val="99"/>
    <w:rPr>
      <w:rFonts w:ascii="Times New Roman" w:hAnsi="Times New Roman" w:eastAsia="Times New Roman" w:cs="Times New Roman"/>
      <w:color w:val="000000"/>
      <w:sz w:val="24"/>
      <w:szCs w:val="24"/>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E588A-AE9D-442B-BCD1-B257FC656637}">
  <ds:schemaRefs/>
</ds:datastoreItem>
</file>

<file path=docProps/app.xml><?xml version="1.0" encoding="utf-8"?>
<Properties xmlns="http://schemas.openxmlformats.org/officeDocument/2006/extended-properties" xmlns:vt="http://schemas.openxmlformats.org/officeDocument/2006/docPropsVTypes">
  <Template>Normal</Template>
  <Pages>15</Pages>
  <Words>2516</Words>
  <Characters>13679</Characters>
  <Lines>265</Lines>
  <Paragraphs>74</Paragraphs>
  <TotalTime>2884</TotalTime>
  <ScaleCrop>false</ScaleCrop>
  <LinksUpToDate>false</LinksUpToDate>
  <CharactersWithSpaces>15977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2022-02-18T20:01:00Z</dcterms:created>
  <dc:creator>Administrator</dc:creator>
  <cp:lastModifiedBy>Darren</cp:lastModifiedBy>
  <dcterms:modified xsi:type="dcterms:W3CDTF">2023-05-29T09:05:46Z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8066465483AC435D8801C9174F7E037F</vt:lpwstr>
  </property>
</Properties>
</file>