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numPr>
          <w:numId w:val="0"/>
        </w:numPr>
        <w:tabs>
          <w:tab w:val="left" w:pos="363"/>
        </w:tabs>
        <w:spacing w:after="0" w:line="240" w:lineRule="auto"/>
        <w:rPr>
          <w:rFonts w:hint="eastAsia" w:eastAsia="宋体"/>
          <w:b/>
          <w:bCs/>
          <w:lang w:eastAsia="zh-CN"/>
        </w:rPr>
      </w:pPr>
      <w:r>
        <w:rPr>
          <w:rFonts w:hint="eastAsia" w:eastAsia="宋体"/>
          <w:b/>
          <w:bCs/>
          <w:lang w:eastAsia="zh-CN"/>
        </w:rPr>
        <w:drawing>
          <wp:inline distT="0" distB="0" distL="114300" distR="114300">
            <wp:extent cx="5726430" cy="5726430"/>
            <wp:effectExtent l="0" t="0" r="7620" b="762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6"/>
                    <a:stretch>
                      <a:fillRect/>
                    </a:stretch>
                  </pic:blipFill>
                  <pic:spPr>
                    <a:xfrm>
                      <a:off x="0" y="0"/>
                      <a:ext cx="5726430" cy="5726430"/>
                    </a:xfrm>
                    <a:prstGeom prst="rect">
                      <a:avLst/>
                    </a:prstGeom>
                  </pic:spPr>
                </pic:pic>
              </a:graphicData>
            </a:graphic>
          </wp:inline>
        </w:drawing>
      </w:r>
    </w:p>
    <w:p>
      <w:pPr>
        <w:pStyle w:val="9"/>
        <w:numPr>
          <w:ilvl w:val="0"/>
          <w:numId w:val="1"/>
        </w:numPr>
        <w:tabs>
          <w:tab w:val="left" w:pos="363"/>
        </w:tabs>
        <w:spacing w:after="0" w:line="240" w:lineRule="auto"/>
        <w:rPr>
          <w:b/>
          <w:bCs/>
        </w:rPr>
      </w:pPr>
      <w:r>
        <w:rPr>
          <w:b/>
          <w:bCs/>
        </w:rPr>
        <w:t>MCQ-14828</w:t>
      </w:r>
    </w:p>
    <w:p>
      <w:pPr>
        <w:pStyle w:val="9"/>
        <w:spacing w:after="100" w:line="262" w:lineRule="auto"/>
      </w:pPr>
      <w:r>
        <w:t>A nongovernmental not-for-profit organization may report on which of the following basis and remain in compliance with generally accepted accounting principles (GAAP)?</w:t>
      </w:r>
    </w:p>
    <w:p>
      <w:pPr>
        <w:pStyle w:val="9"/>
        <w:numPr>
          <w:ilvl w:val="0"/>
          <w:numId w:val="2"/>
        </w:numPr>
        <w:tabs>
          <w:tab w:val="left" w:pos="595"/>
        </w:tabs>
        <w:spacing w:after="100" w:line="262" w:lineRule="auto"/>
      </w:pPr>
      <w:bookmarkStart w:id="0" w:name="bookmark1"/>
      <w:bookmarkEnd w:id="0"/>
      <w:r>
        <w:t>Cash</w:t>
      </w:r>
    </w:p>
    <w:p>
      <w:pPr>
        <w:pStyle w:val="9"/>
        <w:numPr>
          <w:ilvl w:val="0"/>
          <w:numId w:val="2"/>
        </w:numPr>
        <w:tabs>
          <w:tab w:val="left" w:pos="595"/>
        </w:tabs>
        <w:spacing w:after="100" w:line="262" w:lineRule="auto"/>
      </w:pPr>
      <w:bookmarkStart w:id="1" w:name="bookmark2"/>
      <w:bookmarkEnd w:id="1"/>
      <w:r>
        <w:t>Accrual</w:t>
      </w:r>
    </w:p>
    <w:p>
      <w:pPr>
        <w:pStyle w:val="9"/>
        <w:numPr>
          <w:ilvl w:val="0"/>
          <w:numId w:val="2"/>
        </w:numPr>
        <w:tabs>
          <w:tab w:val="left" w:pos="595"/>
        </w:tabs>
        <w:spacing w:after="100" w:line="262" w:lineRule="auto"/>
      </w:pPr>
      <w:bookmarkStart w:id="2" w:name="bookmark3"/>
      <w:bookmarkEnd w:id="2"/>
      <w:r>
        <w:t>Modified cash</w:t>
      </w:r>
    </w:p>
    <w:p>
      <w:pPr>
        <w:pStyle w:val="9"/>
        <w:numPr>
          <w:ilvl w:val="0"/>
          <w:numId w:val="2"/>
        </w:numPr>
        <w:tabs>
          <w:tab w:val="left" w:pos="595"/>
        </w:tabs>
        <w:spacing w:after="100" w:line="262" w:lineRule="auto"/>
        <w:jc w:val="both"/>
      </w:pPr>
      <w:bookmarkStart w:id="3" w:name="bookmark4"/>
      <w:bookmarkEnd w:id="3"/>
      <w:r>
        <w:t>Modified accrual</w:t>
      </w:r>
    </w:p>
    <w:p>
      <w:pPr>
        <w:pStyle w:val="9"/>
        <w:numPr>
          <w:ilvl w:val="0"/>
          <w:numId w:val="0"/>
        </w:numPr>
        <w:tabs>
          <w:tab w:val="left" w:pos="595"/>
        </w:tabs>
        <w:spacing w:after="100" w:line="262" w:lineRule="auto"/>
        <w:jc w:val="both"/>
      </w:pPr>
    </w:p>
    <w:p>
      <w:pPr>
        <w:pStyle w:val="9"/>
        <w:numPr>
          <w:ilvl w:val="0"/>
          <w:numId w:val="0"/>
        </w:numPr>
        <w:tabs>
          <w:tab w:val="left" w:pos="595"/>
        </w:tabs>
        <w:spacing w:after="100" w:line="262" w:lineRule="auto"/>
        <w:jc w:val="both"/>
      </w:pPr>
    </w:p>
    <w:p>
      <w:pPr>
        <w:pStyle w:val="9"/>
        <w:numPr>
          <w:ilvl w:val="0"/>
          <w:numId w:val="0"/>
        </w:numPr>
        <w:tabs>
          <w:tab w:val="left" w:pos="595"/>
        </w:tabs>
        <w:spacing w:after="100" w:line="262" w:lineRule="auto"/>
        <w:jc w:val="both"/>
      </w:pPr>
    </w:p>
    <w:p>
      <w:pPr>
        <w:pStyle w:val="9"/>
        <w:numPr>
          <w:ilvl w:val="0"/>
          <w:numId w:val="0"/>
        </w:numPr>
        <w:tabs>
          <w:tab w:val="left" w:pos="595"/>
        </w:tabs>
        <w:spacing w:after="100" w:line="262" w:lineRule="auto"/>
        <w:jc w:val="both"/>
      </w:pPr>
    </w:p>
    <w:p>
      <w:pPr>
        <w:pStyle w:val="9"/>
        <w:numPr>
          <w:ilvl w:val="0"/>
          <w:numId w:val="1"/>
        </w:numPr>
        <w:tabs>
          <w:tab w:val="left" w:pos="368"/>
        </w:tabs>
        <w:spacing w:after="0" w:line="240" w:lineRule="auto"/>
        <w:ind w:left="0" w:leftChars="0" w:firstLine="0" w:firstLineChars="0"/>
        <w:rPr>
          <w:b/>
          <w:bCs/>
        </w:rPr>
      </w:pPr>
      <w:bookmarkStart w:id="4" w:name="bookmark5"/>
      <w:bookmarkEnd w:id="4"/>
      <w:r>
        <w:rPr>
          <w:b/>
          <w:bCs/>
        </w:rPr>
        <w:t>MCQ-14829</w:t>
      </w:r>
    </w:p>
    <w:p>
      <w:pPr>
        <w:pStyle w:val="9"/>
        <w:spacing w:after="140" w:line="228" w:lineRule="auto"/>
      </w:pPr>
      <w:r>
        <w:t>LLA Inc. was capitalized through the issuance of 10,000 shares of $30 par common stock that was sold at $50 per share. LLA had net income as follows:</w:t>
      </w:r>
    </w:p>
    <w:tbl>
      <w:tblPr>
        <w:tblStyle w:val="5"/>
        <w:tblW w:w="0" w:type="auto"/>
        <w:tblInd w:w="0" w:type="dxa"/>
        <w:tblLayout w:type="fixed"/>
        <w:tblCellMar>
          <w:top w:w="0" w:type="dxa"/>
          <w:left w:w="10" w:type="dxa"/>
          <w:bottom w:w="0" w:type="dxa"/>
          <w:right w:w="10" w:type="dxa"/>
        </w:tblCellMar>
      </w:tblPr>
      <w:tblGrid>
        <w:gridCol w:w="552"/>
        <w:gridCol w:w="3216"/>
        <w:gridCol w:w="5412"/>
      </w:tblGrid>
      <w:tr>
        <w:tblPrEx>
          <w:tblCellMar>
            <w:top w:w="0" w:type="dxa"/>
            <w:left w:w="10" w:type="dxa"/>
            <w:bottom w:w="0" w:type="dxa"/>
            <w:right w:w="10" w:type="dxa"/>
          </w:tblCellMar>
        </w:tblPrEx>
        <w:trPr>
          <w:trHeight w:val="684" w:hRule="exact"/>
        </w:trPr>
        <w:tc>
          <w:tcPr>
            <w:tcW w:w="9180" w:type="dxa"/>
            <w:gridSpan w:val="3"/>
            <w:shd w:val="clear" w:color="auto" w:fill="FFFFFF"/>
          </w:tcPr>
          <w:p>
            <w:pPr>
              <w:pStyle w:val="11"/>
              <w:tabs>
                <w:tab w:val="left" w:pos="2600"/>
              </w:tabs>
              <w:ind w:firstLine="740"/>
            </w:pPr>
            <w:r>
              <w:t>Year 1</w:t>
            </w:r>
            <w:r>
              <w:tab/>
            </w:r>
            <w:r>
              <w:t>$100,000</w:t>
            </w:r>
          </w:p>
          <w:p>
            <w:pPr>
              <w:pStyle w:val="11"/>
              <w:tabs>
                <w:tab w:val="left" w:pos="2780"/>
              </w:tabs>
              <w:spacing w:after="0"/>
              <w:ind w:firstLine="740"/>
            </w:pPr>
            <w:r>
              <w:t>Year 2</w:t>
            </w:r>
            <w:r>
              <w:tab/>
            </w:r>
            <w:r>
              <w:t>200,000</w:t>
            </w:r>
          </w:p>
        </w:tc>
      </w:tr>
      <w:tr>
        <w:tblPrEx>
          <w:tblCellMar>
            <w:top w:w="0" w:type="dxa"/>
            <w:left w:w="10" w:type="dxa"/>
            <w:bottom w:w="0" w:type="dxa"/>
            <w:right w:w="10" w:type="dxa"/>
          </w:tblCellMar>
        </w:tblPrEx>
        <w:trPr>
          <w:trHeight w:val="312" w:hRule="exact"/>
        </w:trPr>
        <w:tc>
          <w:tcPr>
            <w:tcW w:w="9180" w:type="dxa"/>
            <w:gridSpan w:val="3"/>
            <w:shd w:val="clear" w:color="auto" w:fill="FFFFFF"/>
            <w:vAlign w:val="bottom"/>
          </w:tcPr>
          <w:p>
            <w:pPr>
              <w:pStyle w:val="11"/>
              <w:spacing w:after="0"/>
            </w:pPr>
            <w:r>
              <w:t>If, during Year 2. LLA paid dividends to its shareholders at $25 per share, what amount was LLA's</w:t>
            </w:r>
          </w:p>
        </w:tc>
      </w:tr>
      <w:tr>
        <w:tblPrEx>
          <w:tblCellMar>
            <w:top w:w="0" w:type="dxa"/>
            <w:left w:w="10" w:type="dxa"/>
            <w:bottom w:w="0" w:type="dxa"/>
            <w:right w:w="10" w:type="dxa"/>
          </w:tblCellMar>
        </w:tblPrEx>
        <w:trPr>
          <w:trHeight w:val="300" w:hRule="exact"/>
        </w:trPr>
        <w:tc>
          <w:tcPr>
            <w:tcW w:w="9180" w:type="dxa"/>
            <w:gridSpan w:val="3"/>
            <w:shd w:val="clear" w:color="auto" w:fill="FFFFFF"/>
          </w:tcPr>
          <w:p>
            <w:pPr>
              <w:pStyle w:val="11"/>
              <w:spacing w:after="0"/>
            </w:pPr>
            <w:r>
              <w:t>retained earnings balance and shareholders' equity balance at the end of Year 2?</w:t>
            </w:r>
          </w:p>
        </w:tc>
      </w:tr>
      <w:tr>
        <w:tblPrEx>
          <w:tblCellMar>
            <w:top w:w="0" w:type="dxa"/>
            <w:left w:w="10" w:type="dxa"/>
            <w:bottom w:w="0" w:type="dxa"/>
            <w:right w:w="10" w:type="dxa"/>
          </w:tblCellMar>
        </w:tblPrEx>
        <w:trPr>
          <w:trHeight w:val="372" w:hRule="exact"/>
        </w:trPr>
        <w:tc>
          <w:tcPr>
            <w:tcW w:w="552" w:type="dxa"/>
            <w:shd w:val="clear" w:color="auto" w:fill="FFFFFF"/>
          </w:tcPr>
          <w:p>
            <w:pPr>
              <w:rPr>
                <w:sz w:val="10"/>
                <w:szCs w:val="10"/>
              </w:rPr>
            </w:pPr>
          </w:p>
        </w:tc>
        <w:tc>
          <w:tcPr>
            <w:tcW w:w="3216" w:type="dxa"/>
            <w:shd w:val="clear" w:color="auto" w:fill="FFFFFF"/>
          </w:tcPr>
          <w:p>
            <w:pPr>
              <w:pStyle w:val="11"/>
              <w:spacing w:after="0"/>
              <w:ind w:firstLine="640"/>
              <w:rPr>
                <w:sz w:val="24"/>
                <w:szCs w:val="24"/>
              </w:rPr>
            </w:pPr>
            <w:r>
              <w:rPr>
                <w:i/>
                <w:iCs/>
                <w:sz w:val="24"/>
                <w:szCs w:val="24"/>
                <w:u w:val="single"/>
              </w:rPr>
              <w:t>Retained earnings</w:t>
            </w:r>
          </w:p>
        </w:tc>
        <w:tc>
          <w:tcPr>
            <w:tcW w:w="5412" w:type="dxa"/>
            <w:shd w:val="clear" w:color="auto" w:fill="FFFFFF"/>
          </w:tcPr>
          <w:p>
            <w:pPr>
              <w:pStyle w:val="11"/>
              <w:spacing w:after="0"/>
              <w:ind w:firstLine="140"/>
              <w:rPr>
                <w:sz w:val="24"/>
                <w:szCs w:val="24"/>
              </w:rPr>
            </w:pPr>
            <w:r>
              <w:rPr>
                <w:i/>
                <w:iCs/>
                <w:sz w:val="24"/>
                <w:szCs w:val="24"/>
                <w:u w:val="single"/>
              </w:rPr>
              <w:t>Shareholders</w:t>
            </w:r>
            <w:r>
              <w:rPr>
                <w:i/>
                <w:iCs/>
                <w:sz w:val="24"/>
                <w:szCs w:val="24"/>
              </w:rPr>
              <w:t xml:space="preserve">' </w:t>
            </w:r>
            <w:r>
              <w:rPr>
                <w:i/>
                <w:iCs/>
                <w:sz w:val="24"/>
                <w:szCs w:val="24"/>
                <w:u w:val="single"/>
              </w:rPr>
              <w:t>equity</w:t>
            </w:r>
          </w:p>
        </w:tc>
      </w:tr>
      <w:tr>
        <w:tblPrEx>
          <w:tblCellMar>
            <w:top w:w="0" w:type="dxa"/>
            <w:left w:w="10" w:type="dxa"/>
            <w:bottom w:w="0" w:type="dxa"/>
            <w:right w:w="10" w:type="dxa"/>
          </w:tblCellMar>
        </w:tblPrEx>
        <w:trPr>
          <w:trHeight w:val="360" w:hRule="exact"/>
        </w:trPr>
        <w:tc>
          <w:tcPr>
            <w:tcW w:w="552" w:type="dxa"/>
            <w:shd w:val="clear" w:color="auto" w:fill="FFFFFF"/>
          </w:tcPr>
          <w:p>
            <w:pPr>
              <w:pStyle w:val="11"/>
              <w:spacing w:after="0"/>
            </w:pPr>
            <w:r>
              <w:t>A.</w:t>
            </w:r>
          </w:p>
        </w:tc>
        <w:tc>
          <w:tcPr>
            <w:tcW w:w="3216" w:type="dxa"/>
            <w:shd w:val="clear" w:color="auto" w:fill="FFFFFF"/>
          </w:tcPr>
          <w:p>
            <w:pPr>
              <w:pStyle w:val="11"/>
              <w:spacing w:after="0"/>
              <w:jc w:val="center"/>
            </w:pPr>
            <w:r>
              <w:t>$50,000</w:t>
            </w:r>
          </w:p>
        </w:tc>
        <w:tc>
          <w:tcPr>
            <w:tcW w:w="5412" w:type="dxa"/>
            <w:shd w:val="clear" w:color="auto" w:fill="FFFFFF"/>
          </w:tcPr>
          <w:p>
            <w:pPr>
              <w:pStyle w:val="11"/>
              <w:spacing w:after="0"/>
              <w:ind w:firstLine="640"/>
              <w:jc w:val="both"/>
            </w:pPr>
            <w:r>
              <w:t>$550,000</w:t>
            </w:r>
          </w:p>
        </w:tc>
      </w:tr>
      <w:tr>
        <w:tblPrEx>
          <w:tblCellMar>
            <w:top w:w="0" w:type="dxa"/>
            <w:left w:w="10" w:type="dxa"/>
            <w:bottom w:w="0" w:type="dxa"/>
            <w:right w:w="10" w:type="dxa"/>
          </w:tblCellMar>
        </w:tblPrEx>
        <w:trPr>
          <w:trHeight w:val="372" w:hRule="exact"/>
        </w:trPr>
        <w:tc>
          <w:tcPr>
            <w:tcW w:w="552" w:type="dxa"/>
            <w:shd w:val="clear" w:color="auto" w:fill="FFFFFF"/>
          </w:tcPr>
          <w:p>
            <w:pPr>
              <w:pStyle w:val="11"/>
              <w:spacing w:after="0"/>
            </w:pPr>
            <w:r>
              <w:t>B.</w:t>
            </w:r>
          </w:p>
        </w:tc>
        <w:tc>
          <w:tcPr>
            <w:tcW w:w="3216" w:type="dxa"/>
            <w:shd w:val="clear" w:color="auto" w:fill="FFFFFF"/>
          </w:tcPr>
          <w:p>
            <w:pPr>
              <w:pStyle w:val="11"/>
              <w:spacing w:after="0"/>
              <w:jc w:val="center"/>
            </w:pPr>
            <w:r>
              <w:t>$50,000</w:t>
            </w:r>
          </w:p>
        </w:tc>
        <w:tc>
          <w:tcPr>
            <w:tcW w:w="5412" w:type="dxa"/>
            <w:shd w:val="clear" w:color="auto" w:fill="FFFFFF"/>
          </w:tcPr>
          <w:p>
            <w:pPr>
              <w:pStyle w:val="11"/>
              <w:spacing w:after="0"/>
              <w:ind w:firstLine="640"/>
              <w:jc w:val="both"/>
            </w:pPr>
            <w:r>
              <w:t>$800,000</w:t>
            </w:r>
          </w:p>
        </w:tc>
      </w:tr>
      <w:tr>
        <w:tblPrEx>
          <w:tblCellMar>
            <w:top w:w="0" w:type="dxa"/>
            <w:left w:w="10" w:type="dxa"/>
            <w:bottom w:w="0" w:type="dxa"/>
            <w:right w:w="10" w:type="dxa"/>
          </w:tblCellMar>
        </w:tblPrEx>
        <w:trPr>
          <w:trHeight w:val="360" w:hRule="exact"/>
        </w:trPr>
        <w:tc>
          <w:tcPr>
            <w:tcW w:w="552" w:type="dxa"/>
            <w:shd w:val="clear" w:color="auto" w:fill="FFFFFF"/>
          </w:tcPr>
          <w:p>
            <w:pPr>
              <w:pStyle w:val="11"/>
              <w:spacing w:after="0"/>
            </w:pPr>
            <w:r>
              <w:t>C.</w:t>
            </w:r>
          </w:p>
        </w:tc>
        <w:tc>
          <w:tcPr>
            <w:tcW w:w="3216" w:type="dxa"/>
            <w:shd w:val="clear" w:color="auto" w:fill="FFFFFF"/>
          </w:tcPr>
          <w:p>
            <w:pPr>
              <w:pStyle w:val="11"/>
              <w:spacing w:after="0"/>
              <w:ind w:left="1060"/>
            </w:pPr>
            <w:r>
              <w:t>S300.000</w:t>
            </w:r>
          </w:p>
        </w:tc>
        <w:tc>
          <w:tcPr>
            <w:tcW w:w="5412" w:type="dxa"/>
            <w:shd w:val="clear" w:color="auto" w:fill="FFFFFF"/>
          </w:tcPr>
          <w:p>
            <w:pPr>
              <w:pStyle w:val="11"/>
              <w:spacing w:after="0"/>
              <w:ind w:firstLine="640"/>
              <w:jc w:val="both"/>
            </w:pPr>
            <w:r>
              <w:t>$550,000</w:t>
            </w:r>
          </w:p>
        </w:tc>
      </w:tr>
      <w:tr>
        <w:tblPrEx>
          <w:tblCellMar>
            <w:top w:w="0" w:type="dxa"/>
            <w:left w:w="10" w:type="dxa"/>
            <w:bottom w:w="0" w:type="dxa"/>
            <w:right w:w="10" w:type="dxa"/>
          </w:tblCellMar>
        </w:tblPrEx>
        <w:trPr>
          <w:trHeight w:val="324" w:hRule="exact"/>
        </w:trPr>
        <w:tc>
          <w:tcPr>
            <w:tcW w:w="552" w:type="dxa"/>
            <w:shd w:val="clear" w:color="auto" w:fill="FFFFFF"/>
            <w:vAlign w:val="bottom"/>
          </w:tcPr>
          <w:p>
            <w:pPr>
              <w:pStyle w:val="11"/>
              <w:spacing w:after="0"/>
            </w:pPr>
            <w:r>
              <w:t>D.</w:t>
            </w:r>
          </w:p>
        </w:tc>
        <w:tc>
          <w:tcPr>
            <w:tcW w:w="3216" w:type="dxa"/>
            <w:shd w:val="clear" w:color="auto" w:fill="FFFFFF"/>
            <w:vAlign w:val="bottom"/>
          </w:tcPr>
          <w:p>
            <w:pPr>
              <w:pStyle w:val="11"/>
              <w:spacing w:after="0"/>
              <w:ind w:left="1060"/>
            </w:pPr>
            <w:r>
              <w:t>S300.000</w:t>
            </w:r>
          </w:p>
        </w:tc>
        <w:tc>
          <w:tcPr>
            <w:tcW w:w="5412" w:type="dxa"/>
            <w:shd w:val="clear" w:color="auto" w:fill="FFFFFF"/>
            <w:vAlign w:val="bottom"/>
          </w:tcPr>
          <w:p>
            <w:pPr>
              <w:pStyle w:val="11"/>
              <w:spacing w:after="0"/>
              <w:ind w:firstLine="640"/>
              <w:jc w:val="both"/>
            </w:pPr>
            <w:r>
              <w:t>$800,000</w:t>
            </w:r>
          </w:p>
        </w:tc>
      </w:tr>
    </w:tbl>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after="0" w:line="240" w:lineRule="auto"/>
      </w:pPr>
    </w:p>
    <w:p>
      <w:pPr>
        <w:pStyle w:val="9"/>
        <w:numPr>
          <w:ilvl w:val="0"/>
          <w:numId w:val="0"/>
        </w:numPr>
        <w:tabs>
          <w:tab w:val="left" w:pos="368"/>
        </w:tabs>
        <w:spacing w:after="0" w:line="240" w:lineRule="auto"/>
        <w:rPr>
          <w:b/>
          <w:bCs/>
        </w:rPr>
      </w:pPr>
      <w:r>
        <w:rPr>
          <w:rFonts w:hint="eastAsia" w:eastAsia="宋体"/>
          <w:b/>
          <w:bCs/>
          <w:lang w:val="en-US" w:eastAsia="zh-CN"/>
        </w:rPr>
        <w:t>3.</w:t>
      </w:r>
      <w:r>
        <w:rPr>
          <w:b/>
          <w:bCs/>
        </w:rPr>
        <w:t>MCQ-14830</w:t>
      </w:r>
    </w:p>
    <w:p>
      <w:pPr>
        <w:pStyle w:val="9"/>
      </w:pPr>
      <w:r>
        <w:t>A statement of activities prepared by a nongovernmental not-for-profit organization is most similar to which of the following financial statements prepared by a for-profit entity?</w:t>
      </w:r>
    </w:p>
    <w:p>
      <w:pPr>
        <w:pStyle w:val="9"/>
        <w:numPr>
          <w:ilvl w:val="0"/>
          <w:numId w:val="3"/>
        </w:numPr>
        <w:tabs>
          <w:tab w:val="left" w:pos="614"/>
        </w:tabs>
      </w:pPr>
      <w:bookmarkStart w:id="5" w:name="bookmark10"/>
      <w:bookmarkEnd w:id="5"/>
      <w:r>
        <w:t>Income statement</w:t>
      </w:r>
    </w:p>
    <w:p>
      <w:pPr>
        <w:pStyle w:val="9"/>
        <w:numPr>
          <w:ilvl w:val="0"/>
          <w:numId w:val="3"/>
        </w:numPr>
        <w:tabs>
          <w:tab w:val="left" w:pos="614"/>
        </w:tabs>
      </w:pPr>
      <w:bookmarkStart w:id="6" w:name="bookmark11"/>
      <w:bookmarkEnd w:id="6"/>
      <w:r>
        <w:t>Balance sheet</w:t>
      </w:r>
    </w:p>
    <w:p>
      <w:pPr>
        <w:pStyle w:val="9"/>
        <w:numPr>
          <w:ilvl w:val="0"/>
          <w:numId w:val="3"/>
        </w:numPr>
        <w:tabs>
          <w:tab w:val="left" w:pos="614"/>
        </w:tabs>
      </w:pPr>
      <w:bookmarkStart w:id="7" w:name="bookmark12"/>
      <w:bookmarkEnd w:id="7"/>
      <w:r>
        <w:t>Statement of cash flows</w:t>
      </w:r>
    </w:p>
    <w:p>
      <w:pPr>
        <w:pStyle w:val="9"/>
        <w:numPr>
          <w:ilvl w:val="0"/>
          <w:numId w:val="3"/>
        </w:numPr>
        <w:tabs>
          <w:tab w:val="left" w:pos="614"/>
        </w:tabs>
      </w:pPr>
      <w:bookmarkStart w:id="8" w:name="bookmark13"/>
      <w:bookmarkEnd w:id="8"/>
      <w:r>
        <w:t>Statement of changes in stockholders' equity</w:t>
      </w:r>
    </w:p>
    <w:p>
      <w:pPr>
        <w:pStyle w:val="9"/>
        <w:numPr>
          <w:ilvl w:val="0"/>
          <w:numId w:val="0"/>
        </w:numPr>
        <w:tabs>
          <w:tab w:val="left" w:pos="614"/>
        </w:tabs>
      </w:pPr>
    </w:p>
    <w:p>
      <w:pPr>
        <w:pStyle w:val="9"/>
        <w:numPr>
          <w:ilvl w:val="0"/>
          <w:numId w:val="0"/>
        </w:numPr>
        <w:tabs>
          <w:tab w:val="left" w:pos="375"/>
        </w:tabs>
        <w:spacing w:before="1600" w:after="0" w:line="262" w:lineRule="auto"/>
        <w:rPr>
          <w:b/>
          <w:bCs/>
        </w:rPr>
      </w:pPr>
      <w:bookmarkStart w:id="9" w:name="bookmark14"/>
      <w:bookmarkEnd w:id="9"/>
      <w:r>
        <w:rPr>
          <w:rFonts w:hint="eastAsia" w:eastAsia="宋体"/>
          <w:b/>
          <w:bCs/>
          <w:lang w:val="en-US" w:eastAsia="zh-CN"/>
        </w:rPr>
        <w:t>4.</w:t>
      </w:r>
      <w:r>
        <w:rPr>
          <w:b/>
          <w:bCs/>
        </w:rPr>
        <w:t>MCQ-14832</w:t>
      </w:r>
    </w:p>
    <w:p>
      <w:pPr>
        <w:pStyle w:val="9"/>
        <w:spacing w:after="400"/>
      </w:pPr>
      <w:r>
        <w:t>Alpha Co. has $100 billion in assets, $100 billion in revenues, and $10 billion in profits for the current year. There are four operating segments that report directly to the chief operating officer. Which of the following segments is required to present key disclosures?</w:t>
      </w:r>
    </w:p>
    <w:tbl>
      <w:tblPr>
        <w:tblStyle w:val="5"/>
        <w:tblW w:w="0" w:type="auto"/>
        <w:jc w:val="right"/>
        <w:tblLayout w:type="fixed"/>
        <w:tblCellMar>
          <w:top w:w="0" w:type="dxa"/>
          <w:left w:w="10" w:type="dxa"/>
          <w:bottom w:w="0" w:type="dxa"/>
          <w:right w:w="10" w:type="dxa"/>
        </w:tblCellMar>
      </w:tblPr>
      <w:tblGrid>
        <w:gridCol w:w="1528"/>
        <w:gridCol w:w="2717"/>
        <w:gridCol w:w="2742"/>
        <w:gridCol w:w="2091"/>
      </w:tblGrid>
      <w:tr>
        <w:tblPrEx>
          <w:tblCellMar>
            <w:top w:w="0" w:type="dxa"/>
            <w:left w:w="10" w:type="dxa"/>
            <w:bottom w:w="0" w:type="dxa"/>
            <w:right w:w="10" w:type="dxa"/>
          </w:tblCellMar>
        </w:tblPrEx>
        <w:trPr>
          <w:trHeight w:val="250" w:hRule="exact"/>
          <w:jc w:val="right"/>
        </w:trPr>
        <w:tc>
          <w:tcPr>
            <w:tcW w:w="1528" w:type="dxa"/>
            <w:shd w:val="clear" w:color="auto" w:fill="FFFFFF"/>
          </w:tcPr>
          <w:p>
            <w:pPr>
              <w:pStyle w:val="11"/>
              <w:spacing w:after="0"/>
              <w:rPr>
                <w:sz w:val="24"/>
                <w:szCs w:val="24"/>
              </w:rPr>
            </w:pPr>
            <w:r>
              <w:rPr>
                <w:i/>
                <w:iCs/>
                <w:sz w:val="24"/>
                <w:szCs w:val="24"/>
                <w:u w:val="single"/>
              </w:rPr>
              <w:t>Segment</w:t>
            </w:r>
          </w:p>
        </w:tc>
        <w:tc>
          <w:tcPr>
            <w:tcW w:w="2717" w:type="dxa"/>
            <w:shd w:val="clear" w:color="auto" w:fill="FFFFFF"/>
          </w:tcPr>
          <w:p>
            <w:pPr>
              <w:pStyle w:val="11"/>
              <w:spacing w:after="0"/>
              <w:ind w:firstLine="580"/>
              <w:rPr>
                <w:sz w:val="24"/>
                <w:szCs w:val="24"/>
              </w:rPr>
            </w:pPr>
            <w:r>
              <w:rPr>
                <w:i/>
                <w:iCs/>
                <w:sz w:val="24"/>
                <w:szCs w:val="24"/>
                <w:u w:val="single"/>
              </w:rPr>
              <w:t>Assets (in billions)</w:t>
            </w:r>
          </w:p>
        </w:tc>
        <w:tc>
          <w:tcPr>
            <w:tcW w:w="2742" w:type="dxa"/>
            <w:shd w:val="clear" w:color="auto" w:fill="FFFFFF"/>
          </w:tcPr>
          <w:p>
            <w:pPr>
              <w:pStyle w:val="11"/>
              <w:spacing w:after="0"/>
              <w:jc w:val="center"/>
              <w:rPr>
                <w:sz w:val="24"/>
                <w:szCs w:val="24"/>
              </w:rPr>
            </w:pPr>
            <w:r>
              <w:rPr>
                <w:i/>
                <w:iCs/>
                <w:sz w:val="24"/>
                <w:szCs w:val="24"/>
                <w:u w:val="single"/>
              </w:rPr>
              <w:t>Revenues (in billions)</w:t>
            </w:r>
          </w:p>
        </w:tc>
        <w:tc>
          <w:tcPr>
            <w:tcW w:w="2091" w:type="dxa"/>
            <w:shd w:val="clear" w:color="auto" w:fill="FFFFFF"/>
          </w:tcPr>
          <w:p>
            <w:pPr>
              <w:pStyle w:val="11"/>
              <w:spacing w:after="0"/>
              <w:ind w:firstLine="118"/>
              <w:jc w:val="both"/>
              <w:rPr>
                <w:sz w:val="24"/>
                <w:szCs w:val="24"/>
              </w:rPr>
            </w:pPr>
            <w:r>
              <w:rPr>
                <w:i/>
                <w:iCs/>
                <w:sz w:val="24"/>
                <w:szCs w:val="24"/>
                <w:u w:val="single"/>
              </w:rPr>
              <w:t>Profits (in billions)</w:t>
            </w:r>
          </w:p>
        </w:tc>
      </w:tr>
      <w:tr>
        <w:tblPrEx>
          <w:tblCellMar>
            <w:top w:w="0" w:type="dxa"/>
            <w:left w:w="10" w:type="dxa"/>
            <w:bottom w:w="0" w:type="dxa"/>
            <w:right w:w="10" w:type="dxa"/>
          </w:tblCellMar>
        </w:tblPrEx>
        <w:trPr>
          <w:trHeight w:val="238" w:hRule="exact"/>
          <w:jc w:val="right"/>
        </w:trPr>
        <w:tc>
          <w:tcPr>
            <w:tcW w:w="1528" w:type="dxa"/>
            <w:tcBorders>
              <w:top w:val="single" w:color="auto" w:sz="4" w:space="0"/>
            </w:tcBorders>
            <w:shd w:val="clear" w:color="auto" w:fill="FFFFFF"/>
          </w:tcPr>
          <w:p>
            <w:pPr>
              <w:pStyle w:val="11"/>
              <w:spacing w:after="0"/>
              <w:ind w:firstLine="380"/>
            </w:pPr>
            <w:r>
              <w:t>1</w:t>
            </w:r>
          </w:p>
        </w:tc>
        <w:tc>
          <w:tcPr>
            <w:tcW w:w="2717" w:type="dxa"/>
            <w:tcBorders>
              <w:top w:val="single" w:color="auto" w:sz="4" w:space="0"/>
            </w:tcBorders>
            <w:shd w:val="clear" w:color="auto" w:fill="FFFFFF"/>
          </w:tcPr>
          <w:p>
            <w:pPr>
              <w:pStyle w:val="11"/>
              <w:spacing w:after="0"/>
              <w:ind w:left="1320"/>
            </w:pPr>
            <w:r>
              <w:t>$40</w:t>
            </w:r>
          </w:p>
        </w:tc>
        <w:tc>
          <w:tcPr>
            <w:tcW w:w="2742" w:type="dxa"/>
            <w:tcBorders>
              <w:top w:val="single" w:color="auto" w:sz="4" w:space="0"/>
            </w:tcBorders>
            <w:shd w:val="clear" w:color="auto" w:fill="FFFFFF"/>
          </w:tcPr>
          <w:p>
            <w:pPr>
              <w:pStyle w:val="11"/>
              <w:spacing w:after="0"/>
              <w:jc w:val="center"/>
            </w:pPr>
            <w:r>
              <w:t>S70</w:t>
            </w:r>
          </w:p>
        </w:tc>
        <w:tc>
          <w:tcPr>
            <w:tcW w:w="2091" w:type="dxa"/>
            <w:tcBorders>
              <w:top w:val="single" w:color="auto" w:sz="4" w:space="0"/>
            </w:tcBorders>
            <w:shd w:val="clear" w:color="auto" w:fill="FFFFFF"/>
          </w:tcPr>
          <w:p>
            <w:pPr>
              <w:pStyle w:val="11"/>
              <w:spacing w:after="0"/>
              <w:ind w:firstLine="820"/>
            </w:pPr>
            <w:r>
              <w:t>$10.5</w:t>
            </w:r>
          </w:p>
        </w:tc>
      </w:tr>
      <w:tr>
        <w:tblPrEx>
          <w:tblCellMar>
            <w:top w:w="0" w:type="dxa"/>
            <w:left w:w="10" w:type="dxa"/>
            <w:bottom w:w="0" w:type="dxa"/>
            <w:right w:w="10" w:type="dxa"/>
          </w:tblCellMar>
        </w:tblPrEx>
        <w:trPr>
          <w:trHeight w:val="250" w:hRule="exact"/>
          <w:jc w:val="right"/>
        </w:trPr>
        <w:tc>
          <w:tcPr>
            <w:tcW w:w="1528" w:type="dxa"/>
            <w:shd w:val="clear" w:color="auto" w:fill="FFFFFF"/>
          </w:tcPr>
          <w:p>
            <w:pPr>
              <w:pStyle w:val="11"/>
              <w:spacing w:after="0"/>
              <w:ind w:firstLine="380"/>
            </w:pPr>
            <w:r>
              <w:t>2</w:t>
            </w:r>
          </w:p>
        </w:tc>
        <w:tc>
          <w:tcPr>
            <w:tcW w:w="2717" w:type="dxa"/>
            <w:shd w:val="clear" w:color="auto" w:fill="FFFFFF"/>
          </w:tcPr>
          <w:p>
            <w:pPr>
              <w:pStyle w:val="11"/>
              <w:spacing w:after="0"/>
              <w:ind w:left="1460"/>
            </w:pPr>
            <w:r>
              <w:t>30</w:t>
            </w:r>
          </w:p>
        </w:tc>
        <w:tc>
          <w:tcPr>
            <w:tcW w:w="2742" w:type="dxa"/>
            <w:shd w:val="clear" w:color="auto" w:fill="FFFFFF"/>
          </w:tcPr>
          <w:p>
            <w:pPr>
              <w:pStyle w:val="11"/>
              <w:spacing w:after="0"/>
              <w:jc w:val="center"/>
            </w:pPr>
            <w:r>
              <w:t>16</w:t>
            </w:r>
          </w:p>
        </w:tc>
        <w:tc>
          <w:tcPr>
            <w:tcW w:w="2091" w:type="dxa"/>
            <w:shd w:val="clear" w:color="auto" w:fill="FFFFFF"/>
          </w:tcPr>
          <w:p>
            <w:pPr>
              <w:pStyle w:val="11"/>
              <w:spacing w:after="0"/>
              <w:ind w:left="1060"/>
            </w:pPr>
            <w:r>
              <w:t>0.5</w:t>
            </w:r>
          </w:p>
        </w:tc>
      </w:tr>
      <w:tr>
        <w:tblPrEx>
          <w:tblCellMar>
            <w:top w:w="0" w:type="dxa"/>
            <w:left w:w="10" w:type="dxa"/>
            <w:bottom w:w="0" w:type="dxa"/>
            <w:right w:w="10" w:type="dxa"/>
          </w:tblCellMar>
        </w:tblPrEx>
        <w:trPr>
          <w:trHeight w:val="275" w:hRule="exact"/>
          <w:jc w:val="right"/>
        </w:trPr>
        <w:tc>
          <w:tcPr>
            <w:tcW w:w="1528" w:type="dxa"/>
            <w:shd w:val="clear" w:color="auto" w:fill="FFFFFF"/>
          </w:tcPr>
          <w:p>
            <w:pPr>
              <w:pStyle w:val="11"/>
              <w:spacing w:after="0"/>
              <w:ind w:firstLine="380"/>
            </w:pPr>
            <w:r>
              <w:t>3</w:t>
            </w:r>
          </w:p>
        </w:tc>
        <w:tc>
          <w:tcPr>
            <w:tcW w:w="2717" w:type="dxa"/>
            <w:shd w:val="clear" w:color="auto" w:fill="FFFFFF"/>
          </w:tcPr>
          <w:p>
            <w:pPr>
              <w:pStyle w:val="11"/>
              <w:spacing w:after="0"/>
              <w:ind w:left="1460"/>
            </w:pPr>
            <w:r>
              <w:t>21</w:t>
            </w:r>
          </w:p>
        </w:tc>
        <w:tc>
          <w:tcPr>
            <w:tcW w:w="2742" w:type="dxa"/>
            <w:shd w:val="clear" w:color="auto" w:fill="FFFFFF"/>
          </w:tcPr>
          <w:p>
            <w:pPr>
              <w:pStyle w:val="11"/>
              <w:spacing w:after="0"/>
              <w:jc w:val="center"/>
            </w:pPr>
            <w:r>
              <w:t>9</w:t>
            </w:r>
          </w:p>
        </w:tc>
        <w:tc>
          <w:tcPr>
            <w:tcW w:w="2091" w:type="dxa"/>
            <w:shd w:val="clear" w:color="auto" w:fill="FFFFFF"/>
          </w:tcPr>
          <w:p>
            <w:pPr>
              <w:pStyle w:val="11"/>
              <w:spacing w:after="0"/>
              <w:jc w:val="center"/>
            </w:pPr>
            <w:r>
              <w:t>(1.5)</w:t>
            </w:r>
          </w:p>
        </w:tc>
      </w:tr>
      <w:tr>
        <w:tblPrEx>
          <w:tblCellMar>
            <w:top w:w="0" w:type="dxa"/>
            <w:left w:w="10" w:type="dxa"/>
            <w:bottom w:w="0" w:type="dxa"/>
            <w:right w:w="10" w:type="dxa"/>
          </w:tblCellMar>
        </w:tblPrEx>
        <w:trPr>
          <w:trHeight w:val="213" w:hRule="exact"/>
          <w:jc w:val="right"/>
        </w:trPr>
        <w:tc>
          <w:tcPr>
            <w:tcW w:w="1528" w:type="dxa"/>
            <w:shd w:val="clear" w:color="auto" w:fill="FFFFFF"/>
          </w:tcPr>
          <w:p>
            <w:pPr>
              <w:pStyle w:val="11"/>
              <w:spacing w:after="0"/>
              <w:ind w:firstLine="380"/>
            </w:pPr>
            <w:r>
              <w:t>4</w:t>
            </w:r>
          </w:p>
        </w:tc>
        <w:tc>
          <w:tcPr>
            <w:tcW w:w="2717" w:type="dxa"/>
            <w:shd w:val="clear" w:color="auto" w:fill="FFFFFF"/>
          </w:tcPr>
          <w:p>
            <w:pPr>
              <w:pStyle w:val="11"/>
              <w:spacing w:after="0"/>
              <w:ind w:left="1560"/>
            </w:pPr>
            <w:r>
              <w:t>9</w:t>
            </w:r>
          </w:p>
        </w:tc>
        <w:tc>
          <w:tcPr>
            <w:tcW w:w="2742" w:type="dxa"/>
            <w:shd w:val="clear" w:color="auto" w:fill="FFFFFF"/>
          </w:tcPr>
          <w:p>
            <w:pPr>
              <w:pStyle w:val="11"/>
              <w:spacing w:after="0"/>
              <w:jc w:val="center"/>
            </w:pPr>
            <w:r>
              <w:t>5</w:t>
            </w:r>
          </w:p>
        </w:tc>
        <w:tc>
          <w:tcPr>
            <w:tcW w:w="2091" w:type="dxa"/>
            <w:shd w:val="clear" w:color="auto" w:fill="FFFFFF"/>
          </w:tcPr>
          <w:p>
            <w:pPr>
              <w:pStyle w:val="11"/>
              <w:spacing w:after="0"/>
              <w:ind w:left="1060"/>
            </w:pPr>
            <w:r>
              <w:t>0.5</w:t>
            </w:r>
          </w:p>
        </w:tc>
      </w:tr>
    </w:tbl>
    <w:p>
      <w:pPr>
        <w:spacing w:after="259" w:line="1" w:lineRule="exact"/>
      </w:pPr>
    </w:p>
    <w:p>
      <w:pPr>
        <w:pStyle w:val="9"/>
        <w:numPr>
          <w:ilvl w:val="0"/>
          <w:numId w:val="4"/>
        </w:numPr>
        <w:tabs>
          <w:tab w:val="left" w:pos="595"/>
        </w:tabs>
      </w:pPr>
      <w:bookmarkStart w:id="10" w:name="bookmark15"/>
      <w:bookmarkEnd w:id="10"/>
      <w:r>
        <w:t>Segment 1</w:t>
      </w:r>
    </w:p>
    <w:p>
      <w:pPr>
        <w:pStyle w:val="9"/>
        <w:numPr>
          <w:ilvl w:val="0"/>
          <w:numId w:val="4"/>
        </w:numPr>
        <w:tabs>
          <w:tab w:val="left" w:pos="595"/>
        </w:tabs>
      </w:pPr>
      <w:bookmarkStart w:id="11" w:name="bookmark16"/>
      <w:bookmarkEnd w:id="11"/>
      <w:r>
        <w:t>Segments 1 and 2</w:t>
      </w:r>
    </w:p>
    <w:p>
      <w:pPr>
        <w:pStyle w:val="9"/>
        <w:numPr>
          <w:ilvl w:val="0"/>
          <w:numId w:val="4"/>
        </w:numPr>
        <w:tabs>
          <w:tab w:val="left" w:pos="595"/>
        </w:tabs>
      </w:pPr>
      <w:bookmarkStart w:id="12" w:name="bookmark17"/>
      <w:bookmarkEnd w:id="12"/>
      <w:r>
        <w:t>Segments 1,2, and 3</w:t>
      </w:r>
    </w:p>
    <w:p>
      <w:pPr>
        <w:pStyle w:val="9"/>
        <w:numPr>
          <w:ilvl w:val="0"/>
          <w:numId w:val="4"/>
        </w:numPr>
        <w:tabs>
          <w:tab w:val="left" w:pos="595"/>
        </w:tabs>
      </w:pPr>
      <w:bookmarkStart w:id="13" w:name="bookmark18"/>
      <w:bookmarkEnd w:id="13"/>
      <w:r>
        <w:t>Segments 1,2, 3, and 4</w:t>
      </w:r>
    </w:p>
    <w:p>
      <w:pPr>
        <w:pStyle w:val="9"/>
        <w:widowControl w:val="0"/>
        <w:numPr>
          <w:ilvl w:val="0"/>
          <w:numId w:val="0"/>
        </w:numPr>
        <w:tabs>
          <w:tab w:val="left" w:pos="595"/>
        </w:tabs>
        <w:spacing w:after="120"/>
      </w:pPr>
    </w:p>
    <w:p>
      <w:pPr>
        <w:pStyle w:val="9"/>
        <w:widowControl w:val="0"/>
        <w:numPr>
          <w:ilvl w:val="0"/>
          <w:numId w:val="0"/>
        </w:numPr>
        <w:tabs>
          <w:tab w:val="left" w:pos="595"/>
        </w:tabs>
        <w:spacing w:after="120"/>
      </w:pPr>
    </w:p>
    <w:p>
      <w:pPr>
        <w:pStyle w:val="9"/>
        <w:widowControl w:val="0"/>
        <w:numPr>
          <w:ilvl w:val="0"/>
          <w:numId w:val="0"/>
        </w:numPr>
        <w:tabs>
          <w:tab w:val="left" w:pos="595"/>
        </w:tabs>
        <w:spacing w:after="120"/>
      </w:pPr>
    </w:p>
    <w:p>
      <w:pPr>
        <w:pStyle w:val="9"/>
        <w:numPr>
          <w:ilvl w:val="0"/>
          <w:numId w:val="0"/>
        </w:numPr>
        <w:tabs>
          <w:tab w:val="left" w:pos="363"/>
        </w:tabs>
        <w:spacing w:before="320" w:after="100" w:line="233" w:lineRule="auto"/>
        <w:ind w:leftChars="0"/>
      </w:pPr>
      <w:bookmarkStart w:id="14" w:name="bookmark22"/>
      <w:bookmarkEnd w:id="14"/>
      <w:bookmarkStart w:id="15" w:name="bookmark19"/>
      <w:bookmarkEnd w:id="15"/>
      <w:bookmarkStart w:id="16" w:name="bookmark21"/>
      <w:bookmarkEnd w:id="16"/>
      <w:bookmarkStart w:id="17" w:name="bookmark20"/>
      <w:bookmarkEnd w:id="17"/>
      <w:r>
        <w:rPr>
          <w:rFonts w:hint="eastAsia" w:eastAsia="宋体"/>
          <w:b/>
          <w:bCs/>
          <w:lang w:val="en-US" w:eastAsia="zh-CN"/>
        </w:rPr>
        <w:t>5.</w:t>
      </w:r>
      <w:r>
        <w:rPr>
          <w:b/>
          <w:bCs/>
        </w:rPr>
        <w:t>MCQ-14833</w:t>
      </w:r>
    </w:p>
    <w:p>
      <w:pPr>
        <w:pStyle w:val="9"/>
        <w:spacing w:after="100" w:line="233" w:lineRule="auto"/>
      </w:pPr>
      <w:r>
        <w:t>A company reports on the cash basis. During the company's first year of business, it had sales on account of $1,000,000, inventory purchases on account of $400,000, and other expenses of $200,000. At the end of the year, the company had accounts receivable, inventory, and inventory-related accounts payable of $100,000, $10,000, and $50,000, respectively. What is the company's cash basis income for its first year of operations?</w:t>
      </w:r>
    </w:p>
    <w:p>
      <w:pPr>
        <w:pStyle w:val="9"/>
        <w:numPr>
          <w:ilvl w:val="0"/>
          <w:numId w:val="5"/>
        </w:numPr>
        <w:tabs>
          <w:tab w:val="left" w:pos="381"/>
        </w:tabs>
        <w:spacing w:after="100" w:line="233" w:lineRule="auto"/>
      </w:pPr>
      <w:bookmarkStart w:id="18" w:name="bookmark23"/>
      <w:bookmarkEnd w:id="18"/>
      <w:r>
        <w:t>$300,000</w:t>
      </w:r>
    </w:p>
    <w:p>
      <w:pPr>
        <w:pStyle w:val="9"/>
        <w:numPr>
          <w:ilvl w:val="0"/>
          <w:numId w:val="5"/>
        </w:numPr>
        <w:tabs>
          <w:tab w:val="left" w:pos="381"/>
        </w:tabs>
        <w:spacing w:after="100" w:line="233" w:lineRule="auto"/>
      </w:pPr>
      <w:bookmarkStart w:id="19" w:name="bookmark24"/>
      <w:bookmarkEnd w:id="19"/>
      <w:r>
        <w:t>$350,000</w:t>
      </w:r>
    </w:p>
    <w:p>
      <w:pPr>
        <w:pStyle w:val="9"/>
        <w:numPr>
          <w:ilvl w:val="0"/>
          <w:numId w:val="5"/>
        </w:numPr>
        <w:tabs>
          <w:tab w:val="left" w:pos="393"/>
        </w:tabs>
        <w:spacing w:after="100" w:line="233" w:lineRule="auto"/>
      </w:pPr>
      <w:bookmarkStart w:id="20" w:name="bookmark25"/>
      <w:bookmarkEnd w:id="20"/>
      <w:r>
        <w:t>$400,000</w:t>
      </w:r>
    </w:p>
    <w:p>
      <w:pPr>
        <w:pStyle w:val="9"/>
        <w:numPr>
          <w:ilvl w:val="0"/>
          <w:numId w:val="5"/>
        </w:numPr>
        <w:tabs>
          <w:tab w:val="left" w:pos="393"/>
        </w:tabs>
        <w:spacing w:after="100" w:line="233" w:lineRule="auto"/>
      </w:pPr>
      <w:bookmarkStart w:id="21" w:name="bookmark26"/>
      <w:bookmarkEnd w:id="21"/>
      <w:r>
        <w:t>$450,000</w:t>
      </w:r>
    </w:p>
    <w:p>
      <w:pPr>
        <w:pStyle w:val="9"/>
        <w:spacing w:after="100"/>
      </w:pPr>
    </w:p>
    <w:p>
      <w:pPr>
        <w:pStyle w:val="9"/>
        <w:spacing w:after="100"/>
      </w:pPr>
    </w:p>
    <w:p>
      <w:pPr>
        <w:pStyle w:val="9"/>
        <w:spacing w:after="100"/>
      </w:pPr>
    </w:p>
    <w:p>
      <w:pPr>
        <w:pStyle w:val="9"/>
        <w:numPr>
          <w:ilvl w:val="0"/>
          <w:numId w:val="0"/>
        </w:numPr>
        <w:tabs>
          <w:tab w:val="left" w:pos="328"/>
        </w:tabs>
        <w:spacing w:after="80"/>
        <w:ind w:leftChars="0"/>
      </w:pPr>
      <w:bookmarkStart w:id="22" w:name="bookmark27"/>
      <w:bookmarkEnd w:id="22"/>
      <w:r>
        <w:rPr>
          <w:rFonts w:hint="eastAsia" w:eastAsia="宋体"/>
          <w:b/>
          <w:bCs/>
          <w:lang w:val="en-US" w:eastAsia="zh-CN"/>
        </w:rPr>
        <w:t>6.</w:t>
      </w:r>
      <w:r>
        <w:rPr>
          <w:b/>
          <w:bCs/>
        </w:rPr>
        <w:t>MCQ-14834</w:t>
      </w:r>
    </w:p>
    <w:p>
      <w:pPr>
        <w:pStyle w:val="9"/>
        <w:spacing w:after="140"/>
      </w:pPr>
      <w:r>
        <w:t>A company uses a periodic inventory system and has its cost of ending inventory understated by $4,000. Which of the following describes the effects of this error on the company's current year's cost of goods sold and net income, respectively?</w:t>
      </w:r>
    </w:p>
    <w:tbl>
      <w:tblPr>
        <w:tblStyle w:val="5"/>
        <w:tblW w:w="0" w:type="auto"/>
        <w:tblInd w:w="0" w:type="dxa"/>
        <w:tblLayout w:type="fixed"/>
        <w:tblCellMar>
          <w:top w:w="0" w:type="dxa"/>
          <w:left w:w="10" w:type="dxa"/>
          <w:bottom w:w="0" w:type="dxa"/>
          <w:right w:w="10" w:type="dxa"/>
        </w:tblCellMar>
      </w:tblPr>
      <w:tblGrid>
        <w:gridCol w:w="591"/>
        <w:gridCol w:w="2486"/>
        <w:gridCol w:w="1575"/>
      </w:tblGrid>
      <w:tr>
        <w:tblPrEx>
          <w:tblCellMar>
            <w:top w:w="0" w:type="dxa"/>
            <w:left w:w="10" w:type="dxa"/>
            <w:bottom w:w="0" w:type="dxa"/>
            <w:right w:w="10" w:type="dxa"/>
          </w:tblCellMar>
        </w:tblPrEx>
        <w:trPr>
          <w:trHeight w:val="295" w:hRule="exact"/>
        </w:trPr>
        <w:tc>
          <w:tcPr>
            <w:tcW w:w="591" w:type="dxa"/>
            <w:shd w:val="clear" w:color="auto" w:fill="FFFFFF"/>
          </w:tcPr>
          <w:p>
            <w:pPr>
              <w:rPr>
                <w:sz w:val="10"/>
                <w:szCs w:val="10"/>
              </w:rPr>
            </w:pPr>
          </w:p>
        </w:tc>
        <w:tc>
          <w:tcPr>
            <w:tcW w:w="2486" w:type="dxa"/>
            <w:shd w:val="clear" w:color="auto" w:fill="FFFFFF"/>
          </w:tcPr>
          <w:p>
            <w:pPr>
              <w:pStyle w:val="11"/>
              <w:spacing w:after="0"/>
              <w:jc w:val="center"/>
              <w:rPr>
                <w:sz w:val="24"/>
                <w:szCs w:val="24"/>
              </w:rPr>
            </w:pPr>
            <w:r>
              <w:rPr>
                <w:i/>
                <w:iCs/>
                <w:sz w:val="24"/>
                <w:szCs w:val="24"/>
                <w:u w:val="single"/>
              </w:rPr>
              <w:t>Cost of goods sold</w:t>
            </w:r>
          </w:p>
        </w:tc>
        <w:tc>
          <w:tcPr>
            <w:tcW w:w="1575" w:type="dxa"/>
            <w:shd w:val="clear" w:color="auto" w:fill="FFFFFF"/>
          </w:tcPr>
          <w:p>
            <w:pPr>
              <w:pStyle w:val="11"/>
              <w:spacing w:after="0"/>
              <w:ind w:firstLine="360"/>
              <w:rPr>
                <w:sz w:val="24"/>
                <w:szCs w:val="24"/>
              </w:rPr>
            </w:pPr>
            <w:r>
              <w:rPr>
                <w:i/>
                <w:iCs/>
                <w:sz w:val="24"/>
                <w:szCs w:val="24"/>
                <w:u w:val="single"/>
              </w:rPr>
              <w:t>Net income</w:t>
            </w:r>
          </w:p>
        </w:tc>
      </w:tr>
      <w:tr>
        <w:tblPrEx>
          <w:tblCellMar>
            <w:top w:w="0" w:type="dxa"/>
            <w:left w:w="10" w:type="dxa"/>
            <w:bottom w:w="0" w:type="dxa"/>
            <w:right w:w="10" w:type="dxa"/>
          </w:tblCellMar>
        </w:tblPrEx>
        <w:trPr>
          <w:trHeight w:val="369" w:hRule="exact"/>
        </w:trPr>
        <w:tc>
          <w:tcPr>
            <w:tcW w:w="591" w:type="dxa"/>
            <w:shd w:val="clear" w:color="auto" w:fill="FFFFFF"/>
          </w:tcPr>
          <w:p>
            <w:pPr>
              <w:pStyle w:val="11"/>
              <w:spacing w:after="0"/>
            </w:pPr>
            <w:r>
              <w:t>A.</w:t>
            </w:r>
          </w:p>
        </w:tc>
        <w:tc>
          <w:tcPr>
            <w:tcW w:w="2486" w:type="dxa"/>
            <w:shd w:val="clear" w:color="auto" w:fill="FFFFFF"/>
          </w:tcPr>
          <w:p>
            <w:pPr>
              <w:pStyle w:val="11"/>
              <w:spacing w:after="0"/>
              <w:jc w:val="center"/>
            </w:pPr>
            <w:r>
              <w:t>Understated</w:t>
            </w:r>
          </w:p>
        </w:tc>
        <w:tc>
          <w:tcPr>
            <w:tcW w:w="1575" w:type="dxa"/>
            <w:shd w:val="clear" w:color="auto" w:fill="FFFFFF"/>
          </w:tcPr>
          <w:p>
            <w:pPr>
              <w:pStyle w:val="11"/>
              <w:spacing w:after="0"/>
              <w:ind w:firstLine="360"/>
            </w:pPr>
            <w:r>
              <w:t>Understated</w:t>
            </w:r>
          </w:p>
        </w:tc>
      </w:tr>
      <w:tr>
        <w:tblPrEx>
          <w:tblCellMar>
            <w:top w:w="0" w:type="dxa"/>
            <w:left w:w="10" w:type="dxa"/>
            <w:bottom w:w="0" w:type="dxa"/>
            <w:right w:w="10" w:type="dxa"/>
          </w:tblCellMar>
        </w:tblPrEx>
        <w:trPr>
          <w:trHeight w:val="382" w:hRule="exact"/>
        </w:trPr>
        <w:tc>
          <w:tcPr>
            <w:tcW w:w="591" w:type="dxa"/>
            <w:shd w:val="clear" w:color="auto" w:fill="FFFFFF"/>
          </w:tcPr>
          <w:p>
            <w:pPr>
              <w:pStyle w:val="11"/>
              <w:spacing w:after="0"/>
            </w:pPr>
            <w:r>
              <w:t>B.</w:t>
            </w:r>
          </w:p>
        </w:tc>
        <w:tc>
          <w:tcPr>
            <w:tcW w:w="2486" w:type="dxa"/>
            <w:shd w:val="clear" w:color="auto" w:fill="FFFFFF"/>
          </w:tcPr>
          <w:p>
            <w:pPr>
              <w:pStyle w:val="11"/>
              <w:spacing w:after="0"/>
              <w:jc w:val="center"/>
            </w:pPr>
            <w:r>
              <w:t>Understated</w:t>
            </w:r>
          </w:p>
        </w:tc>
        <w:tc>
          <w:tcPr>
            <w:tcW w:w="1575" w:type="dxa"/>
            <w:shd w:val="clear" w:color="auto" w:fill="FFFFFF"/>
          </w:tcPr>
          <w:p>
            <w:pPr>
              <w:pStyle w:val="11"/>
              <w:spacing w:after="0"/>
              <w:ind w:firstLine="360"/>
            </w:pPr>
            <w:r>
              <w:t>Overstated</w:t>
            </w:r>
          </w:p>
        </w:tc>
      </w:tr>
      <w:tr>
        <w:tblPrEx>
          <w:tblCellMar>
            <w:top w:w="0" w:type="dxa"/>
            <w:left w:w="10" w:type="dxa"/>
            <w:bottom w:w="0" w:type="dxa"/>
            <w:right w:w="10" w:type="dxa"/>
          </w:tblCellMar>
        </w:tblPrEx>
        <w:trPr>
          <w:trHeight w:val="382" w:hRule="exact"/>
        </w:trPr>
        <w:tc>
          <w:tcPr>
            <w:tcW w:w="591" w:type="dxa"/>
            <w:shd w:val="clear" w:color="auto" w:fill="FFFFFF"/>
          </w:tcPr>
          <w:p>
            <w:pPr>
              <w:pStyle w:val="11"/>
              <w:spacing w:after="0"/>
            </w:pPr>
            <w:r>
              <w:t>C.</w:t>
            </w:r>
          </w:p>
        </w:tc>
        <w:tc>
          <w:tcPr>
            <w:tcW w:w="2486" w:type="dxa"/>
            <w:shd w:val="clear" w:color="auto" w:fill="FFFFFF"/>
          </w:tcPr>
          <w:p>
            <w:pPr>
              <w:pStyle w:val="11"/>
              <w:spacing w:after="0"/>
              <w:jc w:val="center"/>
            </w:pPr>
            <w:r>
              <w:t>Overstated</w:t>
            </w:r>
          </w:p>
        </w:tc>
        <w:tc>
          <w:tcPr>
            <w:tcW w:w="1575" w:type="dxa"/>
            <w:shd w:val="clear" w:color="auto" w:fill="FFFFFF"/>
          </w:tcPr>
          <w:p>
            <w:pPr>
              <w:pStyle w:val="11"/>
              <w:spacing w:after="0"/>
              <w:ind w:firstLine="360"/>
            </w:pPr>
            <w:r>
              <w:t>Understated</w:t>
            </w:r>
          </w:p>
        </w:tc>
      </w:tr>
      <w:tr>
        <w:tblPrEx>
          <w:tblCellMar>
            <w:top w:w="0" w:type="dxa"/>
            <w:left w:w="10" w:type="dxa"/>
            <w:bottom w:w="0" w:type="dxa"/>
            <w:right w:w="10" w:type="dxa"/>
          </w:tblCellMar>
        </w:tblPrEx>
        <w:trPr>
          <w:trHeight w:val="295" w:hRule="exact"/>
        </w:trPr>
        <w:tc>
          <w:tcPr>
            <w:tcW w:w="591" w:type="dxa"/>
            <w:shd w:val="clear" w:color="auto" w:fill="FFFFFF"/>
            <w:vAlign w:val="bottom"/>
          </w:tcPr>
          <w:p>
            <w:pPr>
              <w:pStyle w:val="11"/>
              <w:spacing w:after="0"/>
            </w:pPr>
            <w:r>
              <w:t>D.</w:t>
            </w:r>
          </w:p>
        </w:tc>
        <w:tc>
          <w:tcPr>
            <w:tcW w:w="2486" w:type="dxa"/>
            <w:shd w:val="clear" w:color="auto" w:fill="FFFFFF"/>
            <w:vAlign w:val="bottom"/>
          </w:tcPr>
          <w:p>
            <w:pPr>
              <w:pStyle w:val="11"/>
              <w:spacing w:after="0"/>
              <w:jc w:val="center"/>
            </w:pPr>
            <w:r>
              <w:t>Overstated</w:t>
            </w:r>
          </w:p>
        </w:tc>
        <w:tc>
          <w:tcPr>
            <w:tcW w:w="1575" w:type="dxa"/>
            <w:shd w:val="clear" w:color="auto" w:fill="FFFFFF"/>
            <w:vAlign w:val="bottom"/>
          </w:tcPr>
          <w:p>
            <w:pPr>
              <w:pStyle w:val="11"/>
              <w:spacing w:after="0"/>
              <w:ind w:firstLine="360"/>
            </w:pPr>
            <w:r>
              <w:t>Overstated</w:t>
            </w:r>
          </w:p>
        </w:tc>
      </w:tr>
    </w:tbl>
    <w:p>
      <w:pPr>
        <w:pStyle w:val="9"/>
        <w:spacing w:line="233" w:lineRule="auto"/>
        <w:jc w:val="both"/>
      </w:pPr>
    </w:p>
    <w:p>
      <w:pPr>
        <w:pStyle w:val="9"/>
        <w:spacing w:line="233" w:lineRule="auto"/>
        <w:jc w:val="both"/>
      </w:pPr>
    </w:p>
    <w:p>
      <w:pPr>
        <w:pStyle w:val="9"/>
        <w:spacing w:line="233" w:lineRule="auto"/>
        <w:jc w:val="both"/>
      </w:pPr>
    </w:p>
    <w:p>
      <w:pPr>
        <w:pStyle w:val="9"/>
        <w:numPr>
          <w:ilvl w:val="0"/>
          <w:numId w:val="6"/>
        </w:numPr>
        <w:tabs>
          <w:tab w:val="left" w:pos="377"/>
        </w:tabs>
        <w:spacing w:after="100"/>
      </w:pPr>
      <w:bookmarkStart w:id="23" w:name="bookmark28"/>
      <w:bookmarkEnd w:id="23"/>
      <w:r>
        <w:rPr>
          <w:b/>
          <w:bCs/>
        </w:rPr>
        <w:t>MCQ-14835</w:t>
      </w:r>
    </w:p>
    <w:p>
      <w:pPr>
        <w:pStyle w:val="9"/>
        <w:spacing w:after="160"/>
      </w:pPr>
      <w:r>
        <w:t>On January 1, Lyle Co. purchased a manufacturing facility. After remodeling was completed, the facility was ready for use on March 1. On April 1, production began. Interest costs were incurred as follows:</w:t>
      </w:r>
    </w:p>
    <w:tbl>
      <w:tblPr>
        <w:tblStyle w:val="5"/>
        <w:tblW w:w="0" w:type="auto"/>
        <w:tblInd w:w="0" w:type="dxa"/>
        <w:tblLayout w:type="fixed"/>
        <w:tblCellMar>
          <w:top w:w="0" w:type="dxa"/>
          <w:left w:w="10" w:type="dxa"/>
          <w:bottom w:w="0" w:type="dxa"/>
          <w:right w:w="10" w:type="dxa"/>
        </w:tblCellMar>
      </w:tblPr>
      <w:tblGrid>
        <w:gridCol w:w="1655"/>
        <w:gridCol w:w="2956"/>
        <w:gridCol w:w="3129"/>
      </w:tblGrid>
      <w:tr>
        <w:tblPrEx>
          <w:tblCellMar>
            <w:top w:w="0" w:type="dxa"/>
            <w:left w:w="10" w:type="dxa"/>
            <w:bottom w:w="0" w:type="dxa"/>
            <w:right w:w="10" w:type="dxa"/>
          </w:tblCellMar>
        </w:tblPrEx>
        <w:trPr>
          <w:trHeight w:val="291" w:hRule="exact"/>
        </w:trPr>
        <w:tc>
          <w:tcPr>
            <w:tcW w:w="1655" w:type="dxa"/>
            <w:shd w:val="clear" w:color="auto" w:fill="FFFFFF"/>
          </w:tcPr>
          <w:p>
            <w:pPr>
              <w:rPr>
                <w:sz w:val="10"/>
                <w:szCs w:val="10"/>
              </w:rPr>
            </w:pPr>
          </w:p>
        </w:tc>
        <w:tc>
          <w:tcPr>
            <w:tcW w:w="2956" w:type="dxa"/>
            <w:shd w:val="clear" w:color="auto" w:fill="FFFFFF"/>
          </w:tcPr>
          <w:p>
            <w:pPr>
              <w:pStyle w:val="11"/>
              <w:spacing w:after="0"/>
              <w:jc w:val="center"/>
              <w:rPr>
                <w:sz w:val="24"/>
                <w:szCs w:val="24"/>
              </w:rPr>
            </w:pPr>
            <w:r>
              <w:rPr>
                <w:i/>
                <w:iCs/>
                <w:sz w:val="24"/>
                <w:szCs w:val="24"/>
                <w:u w:val="single"/>
              </w:rPr>
              <w:t>January 1</w:t>
            </w:r>
            <w:r>
              <w:rPr>
                <w:u w:val="single"/>
              </w:rPr>
              <w:t xml:space="preserve"> to </w:t>
            </w:r>
            <w:r>
              <w:rPr>
                <w:i/>
                <w:iCs/>
                <w:sz w:val="24"/>
                <w:szCs w:val="24"/>
                <w:u w:val="single"/>
              </w:rPr>
              <w:t>March 1</w:t>
            </w:r>
          </w:p>
        </w:tc>
        <w:tc>
          <w:tcPr>
            <w:tcW w:w="3129" w:type="dxa"/>
            <w:shd w:val="clear" w:color="auto" w:fill="FFFFFF"/>
          </w:tcPr>
          <w:p>
            <w:pPr>
              <w:pStyle w:val="11"/>
              <w:spacing w:after="0"/>
              <w:ind w:firstLine="400"/>
              <w:rPr>
                <w:sz w:val="24"/>
                <w:szCs w:val="24"/>
              </w:rPr>
            </w:pPr>
            <w:r>
              <w:rPr>
                <w:i/>
                <w:iCs/>
                <w:sz w:val="24"/>
                <w:szCs w:val="24"/>
                <w:u w:val="single"/>
              </w:rPr>
              <w:t>March 1</w:t>
            </w:r>
            <w:r>
              <w:rPr>
                <w:u w:val="single"/>
              </w:rPr>
              <w:t xml:space="preserve"> to </w:t>
            </w:r>
            <w:r>
              <w:rPr>
                <w:i/>
                <w:iCs/>
                <w:sz w:val="24"/>
                <w:szCs w:val="24"/>
                <w:u w:val="single"/>
              </w:rPr>
              <w:t>April 1</w:t>
            </w:r>
          </w:p>
        </w:tc>
      </w:tr>
      <w:tr>
        <w:tblPrEx>
          <w:tblCellMar>
            <w:top w:w="0" w:type="dxa"/>
            <w:left w:w="10" w:type="dxa"/>
            <w:bottom w:w="0" w:type="dxa"/>
            <w:right w:w="10" w:type="dxa"/>
          </w:tblCellMar>
        </w:tblPrEx>
        <w:trPr>
          <w:trHeight w:val="404" w:hRule="exact"/>
        </w:trPr>
        <w:tc>
          <w:tcPr>
            <w:tcW w:w="1655" w:type="dxa"/>
            <w:shd w:val="clear" w:color="auto" w:fill="FFFFFF"/>
          </w:tcPr>
          <w:p>
            <w:pPr>
              <w:pStyle w:val="11"/>
              <w:spacing w:after="0"/>
            </w:pPr>
            <w:r>
              <w:t>Building</w:t>
            </w:r>
          </w:p>
        </w:tc>
        <w:tc>
          <w:tcPr>
            <w:tcW w:w="2956" w:type="dxa"/>
            <w:tcBorders>
              <w:top w:val="single" w:color="auto" w:sz="4" w:space="0"/>
            </w:tcBorders>
            <w:shd w:val="clear" w:color="auto" w:fill="FFFFFF"/>
          </w:tcPr>
          <w:p>
            <w:pPr>
              <w:pStyle w:val="11"/>
              <w:spacing w:after="0"/>
              <w:jc w:val="center"/>
            </w:pPr>
            <w:r>
              <w:t>$10,000</w:t>
            </w:r>
          </w:p>
        </w:tc>
        <w:tc>
          <w:tcPr>
            <w:tcW w:w="3129" w:type="dxa"/>
            <w:tcBorders>
              <w:top w:val="single" w:color="auto" w:sz="4" w:space="0"/>
            </w:tcBorders>
            <w:shd w:val="clear" w:color="auto" w:fill="FFFFFF"/>
          </w:tcPr>
          <w:p>
            <w:pPr>
              <w:pStyle w:val="11"/>
              <w:spacing w:after="0"/>
              <w:ind w:firstLine="860"/>
            </w:pPr>
            <w:r>
              <w:t>$5,000</w:t>
            </w:r>
          </w:p>
        </w:tc>
      </w:tr>
      <w:tr>
        <w:tblPrEx>
          <w:tblCellMar>
            <w:top w:w="0" w:type="dxa"/>
            <w:left w:w="10" w:type="dxa"/>
            <w:bottom w:w="0" w:type="dxa"/>
            <w:right w:w="10" w:type="dxa"/>
          </w:tblCellMar>
        </w:tblPrEx>
        <w:trPr>
          <w:trHeight w:val="354" w:hRule="exact"/>
        </w:trPr>
        <w:tc>
          <w:tcPr>
            <w:tcW w:w="1655" w:type="dxa"/>
            <w:shd w:val="clear" w:color="auto" w:fill="FFFFFF"/>
            <w:vAlign w:val="bottom"/>
          </w:tcPr>
          <w:p>
            <w:pPr>
              <w:pStyle w:val="11"/>
              <w:spacing w:after="0"/>
            </w:pPr>
            <w:r>
              <w:t>Remodeling</w:t>
            </w:r>
          </w:p>
        </w:tc>
        <w:tc>
          <w:tcPr>
            <w:tcW w:w="2956" w:type="dxa"/>
            <w:shd w:val="clear" w:color="auto" w:fill="FFFFFF"/>
            <w:vAlign w:val="bottom"/>
          </w:tcPr>
          <w:p>
            <w:pPr>
              <w:pStyle w:val="11"/>
              <w:spacing w:after="0"/>
              <w:jc w:val="center"/>
            </w:pPr>
            <w:r>
              <w:t>2,000</w:t>
            </w:r>
          </w:p>
        </w:tc>
        <w:tc>
          <w:tcPr>
            <w:tcW w:w="3129" w:type="dxa"/>
            <w:shd w:val="clear" w:color="auto" w:fill="FFFFFF"/>
            <w:vAlign w:val="bottom"/>
          </w:tcPr>
          <w:p>
            <w:pPr>
              <w:pStyle w:val="11"/>
              <w:spacing w:after="0"/>
              <w:ind w:firstLine="1000"/>
            </w:pPr>
            <w:r>
              <w:t>3,000</w:t>
            </w:r>
          </w:p>
        </w:tc>
      </w:tr>
    </w:tbl>
    <w:p>
      <w:pPr>
        <w:pStyle w:val="13"/>
      </w:pPr>
      <w:r>
        <w:t>What amount of interest should Lyle capitalize during the current year?</w:t>
      </w:r>
    </w:p>
    <w:p>
      <w:pPr>
        <w:spacing w:after="99" w:line="1" w:lineRule="exact"/>
      </w:pPr>
    </w:p>
    <w:p>
      <w:pPr>
        <w:pStyle w:val="9"/>
        <w:numPr>
          <w:ilvl w:val="0"/>
          <w:numId w:val="7"/>
        </w:numPr>
        <w:tabs>
          <w:tab w:val="left" w:pos="600"/>
        </w:tabs>
        <w:spacing w:after="100"/>
        <w:jc w:val="both"/>
      </w:pPr>
      <w:bookmarkStart w:id="24" w:name="bookmark29"/>
      <w:bookmarkEnd w:id="24"/>
      <w:r>
        <w:t>$10.000</w:t>
      </w:r>
    </w:p>
    <w:p>
      <w:pPr>
        <w:pStyle w:val="9"/>
        <w:numPr>
          <w:ilvl w:val="0"/>
          <w:numId w:val="7"/>
        </w:numPr>
        <w:tabs>
          <w:tab w:val="left" w:pos="600"/>
        </w:tabs>
        <w:spacing w:after="100"/>
        <w:jc w:val="both"/>
      </w:pPr>
      <w:bookmarkStart w:id="25" w:name="bookmark30"/>
      <w:bookmarkEnd w:id="25"/>
      <w:r>
        <w:t>$12,000</w:t>
      </w:r>
    </w:p>
    <w:p>
      <w:pPr>
        <w:pStyle w:val="9"/>
        <w:numPr>
          <w:ilvl w:val="0"/>
          <w:numId w:val="7"/>
        </w:numPr>
        <w:tabs>
          <w:tab w:val="left" w:pos="600"/>
        </w:tabs>
        <w:spacing w:after="100"/>
        <w:jc w:val="both"/>
      </w:pPr>
      <w:bookmarkStart w:id="26" w:name="bookmark31"/>
      <w:bookmarkEnd w:id="26"/>
      <w:r>
        <w:t>$15,000</w:t>
      </w:r>
    </w:p>
    <w:p>
      <w:pPr>
        <w:pStyle w:val="9"/>
        <w:numPr>
          <w:ilvl w:val="0"/>
          <w:numId w:val="7"/>
        </w:numPr>
        <w:tabs>
          <w:tab w:val="left" w:pos="600"/>
        </w:tabs>
        <w:spacing w:after="100"/>
        <w:jc w:val="both"/>
      </w:pPr>
      <w:bookmarkStart w:id="27" w:name="bookmark32"/>
      <w:bookmarkEnd w:id="27"/>
      <w:r>
        <w:t>$20,000</w:t>
      </w:r>
    </w:p>
    <w:p>
      <w:pPr>
        <w:pStyle w:val="9"/>
        <w:spacing w:line="233" w:lineRule="auto"/>
      </w:pPr>
    </w:p>
    <w:p>
      <w:pPr>
        <w:pStyle w:val="9"/>
        <w:numPr>
          <w:ilvl w:val="0"/>
          <w:numId w:val="6"/>
        </w:numPr>
        <w:tabs>
          <w:tab w:val="left" w:pos="372"/>
        </w:tabs>
        <w:spacing w:before="680" w:after="60"/>
      </w:pPr>
      <w:bookmarkStart w:id="28" w:name="bookmark33"/>
      <w:bookmarkEnd w:id="28"/>
      <w:r>
        <w:rPr>
          <w:b/>
          <w:bCs/>
        </w:rPr>
        <w:t>MCQ-14836</w:t>
      </w:r>
    </w:p>
    <w:p>
      <w:pPr>
        <w:pStyle w:val="9"/>
      </w:pPr>
      <w:r>
        <w:t>The equity method would be used if a company owned what percentage of its investee company's stock?</w:t>
      </w:r>
    </w:p>
    <w:p>
      <w:pPr>
        <w:pStyle w:val="9"/>
        <w:numPr>
          <w:ilvl w:val="0"/>
          <w:numId w:val="8"/>
        </w:numPr>
        <w:tabs>
          <w:tab w:val="left" w:pos="628"/>
        </w:tabs>
      </w:pPr>
      <w:bookmarkStart w:id="29" w:name="bookmark34"/>
      <w:bookmarkEnd w:id="29"/>
      <w:r>
        <w:rPr>
          <w:lang w:val="zh-CN" w:eastAsia="zh-CN" w:bidi="zh-CN"/>
        </w:rPr>
        <w:t>5%</w:t>
      </w:r>
    </w:p>
    <w:p>
      <w:pPr>
        <w:pStyle w:val="9"/>
        <w:numPr>
          <w:ilvl w:val="0"/>
          <w:numId w:val="8"/>
        </w:numPr>
        <w:tabs>
          <w:tab w:val="left" w:pos="628"/>
        </w:tabs>
      </w:pPr>
      <w:bookmarkStart w:id="30" w:name="bookmark35"/>
      <w:bookmarkEnd w:id="30"/>
      <w:r>
        <w:rPr>
          <w:lang w:val="zh-CN" w:eastAsia="zh-CN" w:bidi="zh-CN"/>
        </w:rPr>
        <w:t>15%</w:t>
      </w:r>
    </w:p>
    <w:p>
      <w:pPr>
        <w:pStyle w:val="9"/>
        <w:numPr>
          <w:ilvl w:val="0"/>
          <w:numId w:val="8"/>
        </w:numPr>
        <w:tabs>
          <w:tab w:val="left" w:pos="628"/>
        </w:tabs>
      </w:pPr>
      <w:bookmarkStart w:id="31" w:name="bookmark36"/>
      <w:bookmarkEnd w:id="31"/>
      <w:r>
        <w:rPr>
          <w:lang w:val="zh-CN" w:eastAsia="zh-CN" w:bidi="zh-CN"/>
        </w:rPr>
        <w:t>25%</w:t>
      </w:r>
    </w:p>
    <w:p>
      <w:pPr>
        <w:pStyle w:val="9"/>
        <w:numPr>
          <w:ilvl w:val="0"/>
          <w:numId w:val="8"/>
        </w:numPr>
        <w:tabs>
          <w:tab w:val="left" w:pos="628"/>
        </w:tabs>
      </w:pPr>
      <w:bookmarkStart w:id="32" w:name="bookmark37"/>
      <w:bookmarkEnd w:id="32"/>
      <w:r>
        <w:rPr>
          <w:lang w:val="zh-CN" w:eastAsia="zh-CN" w:bidi="zh-CN"/>
        </w:rPr>
        <w:t>75%</w:t>
      </w:r>
    </w:p>
    <w:p>
      <w:pPr>
        <w:pStyle w:val="9"/>
        <w:spacing w:line="223" w:lineRule="auto"/>
      </w:pPr>
    </w:p>
    <w:p>
      <w:pPr>
        <w:pStyle w:val="9"/>
        <w:spacing w:line="223" w:lineRule="auto"/>
      </w:pPr>
    </w:p>
    <w:p>
      <w:pPr>
        <w:pStyle w:val="9"/>
        <w:numPr>
          <w:ilvl w:val="0"/>
          <w:numId w:val="6"/>
        </w:numPr>
        <w:tabs>
          <w:tab w:val="left" w:pos="378"/>
        </w:tabs>
        <w:spacing w:before="680" w:after="60"/>
        <w:ind w:hanging="360"/>
        <w:rPr>
          <w:b/>
          <w:bCs/>
        </w:rPr>
      </w:pPr>
      <w:bookmarkStart w:id="33" w:name="bookmark38"/>
      <w:bookmarkEnd w:id="33"/>
      <w:r>
        <w:rPr>
          <w:b/>
          <w:bCs/>
        </w:rPr>
        <w:t>MCQ-14838</w:t>
      </w:r>
    </w:p>
    <w:p>
      <w:pPr>
        <w:pStyle w:val="9"/>
      </w:pPr>
      <w:r>
        <w:t>Dale Corp, successfully patented a medical diagnostic machine. Five years after receiving the patent, Dale was legally challenged by Bisk Corp., which had a similar machine. Dale spent $600,000 to successfully defend the patent. How should Dale treat the $600,000?</w:t>
      </w:r>
    </w:p>
    <w:p>
      <w:pPr>
        <w:pStyle w:val="9"/>
        <w:numPr>
          <w:ilvl w:val="0"/>
          <w:numId w:val="9"/>
        </w:numPr>
        <w:tabs>
          <w:tab w:val="left" w:pos="605"/>
        </w:tabs>
      </w:pPr>
      <w:bookmarkStart w:id="34" w:name="bookmark39"/>
      <w:bookmarkEnd w:id="34"/>
      <w:r>
        <w:t>Record it as a research and development expense.</w:t>
      </w:r>
    </w:p>
    <w:p>
      <w:pPr>
        <w:pStyle w:val="9"/>
        <w:numPr>
          <w:ilvl w:val="0"/>
          <w:numId w:val="9"/>
        </w:numPr>
        <w:tabs>
          <w:tab w:val="left" w:pos="605"/>
        </w:tabs>
      </w:pPr>
      <w:bookmarkStart w:id="35" w:name="bookmark40"/>
      <w:bookmarkEnd w:id="35"/>
      <w:r>
        <w:t>Create a separate intangible account and amortize it.</w:t>
      </w:r>
    </w:p>
    <w:p>
      <w:pPr>
        <w:pStyle w:val="9"/>
        <w:numPr>
          <w:ilvl w:val="0"/>
          <w:numId w:val="9"/>
        </w:numPr>
        <w:tabs>
          <w:tab w:val="left" w:pos="605"/>
        </w:tabs>
      </w:pPr>
      <w:bookmarkStart w:id="36" w:name="bookmark41"/>
      <w:bookmarkEnd w:id="36"/>
      <w:r>
        <w:t>Debit the patent account and amortize it.</w:t>
      </w:r>
    </w:p>
    <w:p>
      <w:pPr>
        <w:pStyle w:val="9"/>
        <w:numPr>
          <w:ilvl w:val="0"/>
          <w:numId w:val="9"/>
        </w:numPr>
        <w:tabs>
          <w:tab w:val="left" w:pos="605"/>
        </w:tabs>
      </w:pPr>
      <w:bookmarkStart w:id="37" w:name="bookmark42"/>
      <w:bookmarkEnd w:id="37"/>
      <w:r>
        <w:t>Reduce the stockholders' equity by a prior period adjustment.</w:t>
      </w:r>
    </w:p>
    <w:p>
      <w:pPr>
        <w:pStyle w:val="9"/>
        <w:spacing w:after="100"/>
      </w:pPr>
    </w:p>
    <w:p>
      <w:pPr>
        <w:pStyle w:val="9"/>
        <w:spacing w:after="100"/>
      </w:pPr>
    </w:p>
    <w:p>
      <w:pPr>
        <w:pStyle w:val="9"/>
        <w:spacing w:after="100"/>
      </w:pPr>
    </w:p>
    <w:p>
      <w:pPr>
        <w:pStyle w:val="9"/>
        <w:spacing w:after="100"/>
      </w:pPr>
    </w:p>
    <w:p>
      <w:pPr>
        <w:pStyle w:val="9"/>
        <w:spacing w:after="100"/>
      </w:pPr>
    </w:p>
    <w:p>
      <w:pPr>
        <w:pStyle w:val="9"/>
        <w:numPr>
          <w:ilvl w:val="0"/>
          <w:numId w:val="6"/>
        </w:numPr>
        <w:tabs>
          <w:tab w:val="left" w:pos="378"/>
        </w:tabs>
        <w:spacing w:before="680" w:after="60"/>
        <w:ind w:hanging="360"/>
        <w:rPr>
          <w:b/>
          <w:bCs/>
        </w:rPr>
      </w:pPr>
      <w:bookmarkStart w:id="38" w:name="bookmark43"/>
      <w:bookmarkEnd w:id="38"/>
      <w:r>
        <w:rPr>
          <w:b/>
          <w:bCs/>
        </w:rPr>
        <w:t>MCQ-14839</w:t>
      </w:r>
    </w:p>
    <w:p>
      <w:pPr>
        <w:pStyle w:val="9"/>
        <w:spacing w:line="233" w:lineRule="auto"/>
      </w:pPr>
      <w:r>
        <w:t>Which of the following statements describes the relationship of interest expense related to bonds payable when a discount on bonds payable has been recorded using the effective interest method?</w:t>
      </w:r>
    </w:p>
    <w:p>
      <w:pPr>
        <w:pStyle w:val="9"/>
        <w:numPr>
          <w:ilvl w:val="0"/>
          <w:numId w:val="10"/>
        </w:numPr>
        <w:tabs>
          <w:tab w:val="left" w:pos="557"/>
        </w:tabs>
        <w:spacing w:line="233" w:lineRule="auto"/>
      </w:pPr>
      <w:bookmarkStart w:id="39" w:name="bookmark44"/>
      <w:bookmarkEnd w:id="39"/>
      <w:r>
        <w:t>Interest expense will be the same each year.</w:t>
      </w:r>
    </w:p>
    <w:p>
      <w:pPr>
        <w:pStyle w:val="9"/>
        <w:numPr>
          <w:ilvl w:val="0"/>
          <w:numId w:val="10"/>
        </w:numPr>
        <w:tabs>
          <w:tab w:val="left" w:pos="557"/>
        </w:tabs>
        <w:spacing w:line="233" w:lineRule="auto"/>
      </w:pPr>
      <w:bookmarkStart w:id="40" w:name="bookmark45"/>
      <w:bookmarkEnd w:id="40"/>
      <w:r>
        <w:t>Interest expense will decrease each year.</w:t>
      </w:r>
    </w:p>
    <w:p>
      <w:pPr>
        <w:pStyle w:val="9"/>
        <w:numPr>
          <w:ilvl w:val="0"/>
          <w:numId w:val="10"/>
        </w:numPr>
        <w:tabs>
          <w:tab w:val="left" w:pos="557"/>
        </w:tabs>
        <w:spacing w:line="233" w:lineRule="auto"/>
      </w:pPr>
      <w:bookmarkStart w:id="41" w:name="bookmark46"/>
      <w:bookmarkEnd w:id="41"/>
      <w:r>
        <w:t>Interest expense will increase by the same amount each year.</w:t>
      </w:r>
    </w:p>
    <w:p>
      <w:pPr>
        <w:pStyle w:val="9"/>
        <w:numPr>
          <w:ilvl w:val="0"/>
          <w:numId w:val="10"/>
        </w:numPr>
        <w:tabs>
          <w:tab w:val="left" w:pos="557"/>
        </w:tabs>
        <w:spacing w:line="233" w:lineRule="auto"/>
      </w:pPr>
      <w:bookmarkStart w:id="42" w:name="bookmark47"/>
      <w:bookmarkEnd w:id="42"/>
      <w:r>
        <w:t>Interest expense will increase by a larger amount each year.</w:t>
      </w:r>
    </w:p>
    <w:p>
      <w:pPr>
        <w:pStyle w:val="9"/>
      </w:pPr>
    </w:p>
    <w:p>
      <w:pPr>
        <w:pStyle w:val="9"/>
        <w:numPr>
          <w:ilvl w:val="0"/>
          <w:numId w:val="6"/>
        </w:numPr>
        <w:tabs>
          <w:tab w:val="left" w:pos="378"/>
        </w:tabs>
        <w:spacing w:before="680" w:after="60"/>
        <w:ind w:hanging="360"/>
        <w:rPr>
          <w:b/>
          <w:bCs/>
        </w:rPr>
      </w:pPr>
      <w:bookmarkStart w:id="43" w:name="bookmark48"/>
      <w:bookmarkEnd w:id="43"/>
      <w:r>
        <w:rPr>
          <w:b/>
          <w:bCs/>
        </w:rPr>
        <w:t>MCQ-14840</w:t>
      </w:r>
    </w:p>
    <w:p>
      <w:pPr>
        <w:pStyle w:val="9"/>
      </w:pPr>
      <w:r>
        <w:t>Alder Corp, had the following stockholders' equity balances at the beginning of the current year:</w:t>
      </w:r>
    </w:p>
    <w:p>
      <w:pPr>
        <w:pStyle w:val="9"/>
        <w:spacing w:after="0"/>
        <w:ind w:firstLine="780"/>
      </w:pPr>
      <w:r>
        <w:t>Common stock 200,000 shares authorized, $1 par</w:t>
      </w:r>
    </w:p>
    <w:p>
      <w:pPr>
        <w:pStyle w:val="9"/>
        <w:tabs>
          <w:tab w:val="right" w:pos="7567"/>
        </w:tabs>
        <w:spacing w:after="0"/>
        <w:ind w:firstLine="780"/>
      </w:pPr>
      <w:r>
        <w:t>15,000 shares issued and outstanding</w:t>
      </w:r>
      <w:r>
        <w:tab/>
      </w:r>
      <w:r>
        <w:t>$15,000</w:t>
      </w:r>
    </w:p>
    <w:p>
      <w:pPr>
        <w:pStyle w:val="9"/>
        <w:tabs>
          <w:tab w:val="right" w:pos="7567"/>
        </w:tabs>
        <w:spacing w:after="0"/>
        <w:ind w:firstLine="780"/>
      </w:pPr>
      <w:r>
        <w:t>Additional paid-in capital</w:t>
      </w:r>
      <w:r>
        <w:tab/>
      </w:r>
      <w:r>
        <w:t>24,000</w:t>
      </w:r>
    </w:p>
    <w:p>
      <w:pPr>
        <w:pStyle w:val="9"/>
        <w:tabs>
          <w:tab w:val="right" w:pos="7567"/>
        </w:tabs>
        <w:ind w:firstLine="780"/>
      </w:pPr>
      <w:r>
        <w:t>Retained earnings</w:t>
      </w:r>
      <w:r>
        <w:tab/>
      </w:r>
      <w:r>
        <w:t>11,000</w:t>
      </w:r>
    </w:p>
    <w:p>
      <w:pPr>
        <w:pStyle w:val="9"/>
      </w:pPr>
      <w:r>
        <w:t>During the current year, Alder issued 2,000 shares of common stock with a fair value of $35 per share to Terry Brady on a subscription basis. Terry made a down payment of S3,500, but shortly thereafter defaulted on the subscription. What would be the debit to additional paid-in capital if Alder returned the $3,500 to Terry?</w:t>
      </w:r>
    </w:p>
    <w:p>
      <w:pPr>
        <w:pStyle w:val="9"/>
        <w:numPr>
          <w:ilvl w:val="0"/>
          <w:numId w:val="11"/>
        </w:numPr>
        <w:tabs>
          <w:tab w:val="left" w:pos="561"/>
        </w:tabs>
      </w:pPr>
      <w:bookmarkStart w:id="44" w:name="bookmark49"/>
      <w:bookmarkEnd w:id="44"/>
      <w:r>
        <w:t>$73,500</w:t>
      </w:r>
    </w:p>
    <w:p>
      <w:pPr>
        <w:pStyle w:val="9"/>
        <w:numPr>
          <w:ilvl w:val="0"/>
          <w:numId w:val="11"/>
        </w:numPr>
        <w:tabs>
          <w:tab w:val="left" w:pos="561"/>
        </w:tabs>
      </w:pPr>
      <w:bookmarkStart w:id="45" w:name="bookmark50"/>
      <w:bookmarkEnd w:id="45"/>
      <w:r>
        <w:t>$70,000</w:t>
      </w:r>
    </w:p>
    <w:p>
      <w:pPr>
        <w:pStyle w:val="9"/>
        <w:numPr>
          <w:ilvl w:val="0"/>
          <w:numId w:val="11"/>
        </w:numPr>
        <w:tabs>
          <w:tab w:val="left" w:pos="561"/>
        </w:tabs>
      </w:pPr>
      <w:bookmarkStart w:id="46" w:name="bookmark51"/>
      <w:bookmarkEnd w:id="46"/>
      <w:r>
        <w:t>$68,000</w:t>
      </w:r>
    </w:p>
    <w:p>
      <w:pPr>
        <w:pStyle w:val="9"/>
        <w:numPr>
          <w:ilvl w:val="0"/>
          <w:numId w:val="11"/>
        </w:numPr>
        <w:tabs>
          <w:tab w:val="left" w:pos="561"/>
        </w:tabs>
        <w:spacing w:after="80"/>
        <w:ind w:left="0" w:leftChars="0" w:firstLine="0" w:firstLineChars="0"/>
      </w:pPr>
      <w:bookmarkStart w:id="47" w:name="bookmark52"/>
      <w:bookmarkEnd w:id="47"/>
      <w:r>
        <w:t>S66.500</w:t>
      </w:r>
    </w:p>
    <w:p>
      <w:pPr>
        <w:pStyle w:val="9"/>
        <w:tabs>
          <w:tab w:val="left" w:pos="561"/>
        </w:tabs>
        <w:spacing w:after="80"/>
      </w:pPr>
    </w:p>
    <w:p>
      <w:pPr>
        <w:pStyle w:val="9"/>
        <w:numPr>
          <w:ilvl w:val="0"/>
          <w:numId w:val="6"/>
        </w:numPr>
        <w:tabs>
          <w:tab w:val="left" w:pos="378"/>
        </w:tabs>
        <w:spacing w:before="680" w:after="60"/>
        <w:ind w:hanging="360"/>
        <w:rPr>
          <w:b/>
          <w:bCs/>
        </w:rPr>
      </w:pPr>
      <w:bookmarkStart w:id="48" w:name="bookmark53"/>
      <w:bookmarkEnd w:id="48"/>
      <w:r>
        <w:rPr>
          <w:b/>
          <w:bCs/>
        </w:rPr>
        <w:t>MCQ-14841</w:t>
      </w:r>
    </w:p>
    <w:p>
      <w:pPr>
        <w:pStyle w:val="9"/>
        <w:spacing w:after="140" w:line="233" w:lineRule="auto"/>
      </w:pPr>
      <w:r>
        <w:t>Nelson Corp, paid $1,000,000 cash to purchase 100 percent of the outstanding common stock of Orange Corp, on April 1 of the current year. Examination of Orange's assets and liabilities reveals the following:</w:t>
      </w:r>
    </w:p>
    <w:tbl>
      <w:tblPr>
        <w:tblStyle w:val="5"/>
        <w:tblW w:w="0" w:type="auto"/>
        <w:jc w:val="center"/>
        <w:tblLayout w:type="fixed"/>
        <w:tblCellMar>
          <w:top w:w="0" w:type="dxa"/>
          <w:left w:w="10" w:type="dxa"/>
          <w:bottom w:w="0" w:type="dxa"/>
          <w:right w:w="10" w:type="dxa"/>
        </w:tblCellMar>
      </w:tblPr>
      <w:tblGrid>
        <w:gridCol w:w="2624"/>
        <w:gridCol w:w="2014"/>
        <w:gridCol w:w="2270"/>
      </w:tblGrid>
      <w:tr>
        <w:tblPrEx>
          <w:tblCellMar>
            <w:top w:w="0" w:type="dxa"/>
            <w:left w:w="10" w:type="dxa"/>
            <w:bottom w:w="0" w:type="dxa"/>
            <w:right w:w="10" w:type="dxa"/>
          </w:tblCellMar>
        </w:tblPrEx>
        <w:trPr>
          <w:trHeight w:val="281" w:hRule="exact"/>
          <w:jc w:val="center"/>
        </w:trPr>
        <w:tc>
          <w:tcPr>
            <w:tcW w:w="2624" w:type="dxa"/>
            <w:shd w:val="clear" w:color="auto" w:fill="FFFFFF"/>
          </w:tcPr>
          <w:p>
            <w:pPr>
              <w:rPr>
                <w:sz w:val="10"/>
                <w:szCs w:val="10"/>
              </w:rPr>
            </w:pPr>
          </w:p>
        </w:tc>
        <w:tc>
          <w:tcPr>
            <w:tcW w:w="2014" w:type="dxa"/>
            <w:shd w:val="clear" w:color="auto" w:fill="FFFFFF"/>
          </w:tcPr>
          <w:p>
            <w:pPr>
              <w:pStyle w:val="11"/>
              <w:spacing w:after="0"/>
              <w:ind w:firstLine="600"/>
              <w:rPr>
                <w:sz w:val="24"/>
                <w:szCs w:val="24"/>
              </w:rPr>
            </w:pPr>
            <w:r>
              <w:rPr>
                <w:i/>
                <w:iCs/>
                <w:sz w:val="24"/>
                <w:szCs w:val="24"/>
                <w:u w:val="single"/>
              </w:rPr>
              <w:t>Book value</w:t>
            </w:r>
          </w:p>
        </w:tc>
        <w:tc>
          <w:tcPr>
            <w:tcW w:w="2270" w:type="dxa"/>
            <w:shd w:val="clear" w:color="auto" w:fill="FFFFFF"/>
          </w:tcPr>
          <w:p>
            <w:pPr>
              <w:pStyle w:val="11"/>
              <w:spacing w:after="0"/>
              <w:ind w:firstLine="320"/>
              <w:jc w:val="both"/>
              <w:rPr>
                <w:sz w:val="24"/>
                <w:szCs w:val="24"/>
              </w:rPr>
            </w:pPr>
            <w:r>
              <w:rPr>
                <w:i/>
                <w:iCs/>
                <w:sz w:val="24"/>
                <w:szCs w:val="24"/>
                <w:u w:val="single"/>
              </w:rPr>
              <w:t>Fair value on April 1</w:t>
            </w:r>
          </w:p>
        </w:tc>
      </w:tr>
      <w:tr>
        <w:tblPrEx>
          <w:tblCellMar>
            <w:top w:w="0" w:type="dxa"/>
            <w:left w:w="10" w:type="dxa"/>
            <w:bottom w:w="0" w:type="dxa"/>
            <w:right w:w="10" w:type="dxa"/>
          </w:tblCellMar>
        </w:tblPrEx>
        <w:trPr>
          <w:trHeight w:val="391" w:hRule="exact"/>
          <w:jc w:val="center"/>
        </w:trPr>
        <w:tc>
          <w:tcPr>
            <w:tcW w:w="2624" w:type="dxa"/>
            <w:shd w:val="clear" w:color="auto" w:fill="FFFFFF"/>
          </w:tcPr>
          <w:p>
            <w:pPr>
              <w:pStyle w:val="11"/>
              <w:spacing w:after="0"/>
            </w:pPr>
            <w:r>
              <w:t>Cash</w:t>
            </w:r>
          </w:p>
        </w:tc>
        <w:tc>
          <w:tcPr>
            <w:tcW w:w="2014" w:type="dxa"/>
            <w:tcBorders>
              <w:top w:val="single" w:color="auto" w:sz="4" w:space="0"/>
            </w:tcBorders>
            <w:shd w:val="clear" w:color="auto" w:fill="FFFFFF"/>
          </w:tcPr>
          <w:p>
            <w:pPr>
              <w:pStyle w:val="11"/>
              <w:spacing w:after="0"/>
              <w:ind w:firstLine="600"/>
            </w:pPr>
            <w:r>
              <w:t>$100,000</w:t>
            </w:r>
          </w:p>
        </w:tc>
        <w:tc>
          <w:tcPr>
            <w:tcW w:w="2270" w:type="dxa"/>
            <w:tcBorders>
              <w:top w:val="single" w:color="auto" w:sz="4" w:space="0"/>
            </w:tcBorders>
            <w:shd w:val="clear" w:color="auto" w:fill="FFFFFF"/>
          </w:tcPr>
          <w:p>
            <w:pPr>
              <w:pStyle w:val="11"/>
              <w:spacing w:after="0"/>
              <w:ind w:firstLine="780"/>
            </w:pPr>
            <w:r>
              <w:t>$100,000</w:t>
            </w:r>
          </w:p>
        </w:tc>
      </w:tr>
      <w:tr>
        <w:tblPrEx>
          <w:tblCellMar>
            <w:top w:w="0" w:type="dxa"/>
            <w:left w:w="10" w:type="dxa"/>
            <w:bottom w:w="0" w:type="dxa"/>
            <w:right w:w="10" w:type="dxa"/>
          </w:tblCellMar>
        </w:tblPrEx>
        <w:trPr>
          <w:trHeight w:val="366" w:hRule="exact"/>
          <w:jc w:val="center"/>
        </w:trPr>
        <w:tc>
          <w:tcPr>
            <w:tcW w:w="2624" w:type="dxa"/>
            <w:shd w:val="clear" w:color="auto" w:fill="FFFFFF"/>
          </w:tcPr>
          <w:p>
            <w:pPr>
              <w:pStyle w:val="11"/>
              <w:spacing w:after="0"/>
            </w:pPr>
            <w:r>
              <w:t>Marketable securities</w:t>
            </w:r>
          </w:p>
        </w:tc>
        <w:tc>
          <w:tcPr>
            <w:tcW w:w="2014" w:type="dxa"/>
            <w:shd w:val="clear" w:color="auto" w:fill="FFFFFF"/>
          </w:tcPr>
          <w:p>
            <w:pPr>
              <w:pStyle w:val="11"/>
              <w:spacing w:after="0"/>
              <w:ind w:firstLine="700"/>
            </w:pPr>
            <w:r>
              <w:t>200,000</w:t>
            </w:r>
          </w:p>
        </w:tc>
        <w:tc>
          <w:tcPr>
            <w:tcW w:w="2270" w:type="dxa"/>
            <w:shd w:val="clear" w:color="auto" w:fill="FFFFFF"/>
          </w:tcPr>
          <w:p>
            <w:pPr>
              <w:pStyle w:val="11"/>
              <w:spacing w:after="0"/>
              <w:ind w:firstLine="920"/>
            </w:pPr>
            <w:r>
              <w:t>250,000</w:t>
            </w:r>
          </w:p>
        </w:tc>
      </w:tr>
      <w:tr>
        <w:tblPrEx>
          <w:tblCellMar>
            <w:top w:w="0" w:type="dxa"/>
            <w:left w:w="10" w:type="dxa"/>
            <w:bottom w:w="0" w:type="dxa"/>
            <w:right w:w="10" w:type="dxa"/>
          </w:tblCellMar>
        </w:tblPrEx>
        <w:trPr>
          <w:trHeight w:val="378" w:hRule="exact"/>
          <w:jc w:val="center"/>
        </w:trPr>
        <w:tc>
          <w:tcPr>
            <w:tcW w:w="2624" w:type="dxa"/>
            <w:shd w:val="clear" w:color="auto" w:fill="FFFFFF"/>
          </w:tcPr>
          <w:p>
            <w:pPr>
              <w:pStyle w:val="11"/>
              <w:spacing w:after="0"/>
            </w:pPr>
            <w:r>
              <w:t>Land</w:t>
            </w:r>
          </w:p>
        </w:tc>
        <w:tc>
          <w:tcPr>
            <w:tcW w:w="2014" w:type="dxa"/>
            <w:shd w:val="clear" w:color="auto" w:fill="FFFFFF"/>
          </w:tcPr>
          <w:p>
            <w:pPr>
              <w:pStyle w:val="11"/>
              <w:spacing w:after="0"/>
              <w:jc w:val="center"/>
            </w:pPr>
            <w:r>
              <w:t>50.000</w:t>
            </w:r>
          </w:p>
        </w:tc>
        <w:tc>
          <w:tcPr>
            <w:tcW w:w="2270" w:type="dxa"/>
            <w:shd w:val="clear" w:color="auto" w:fill="FFFFFF"/>
          </w:tcPr>
          <w:p>
            <w:pPr>
              <w:pStyle w:val="11"/>
              <w:spacing w:after="0"/>
              <w:ind w:firstLine="920"/>
            </w:pPr>
            <w:r>
              <w:t>300,000</w:t>
            </w:r>
          </w:p>
        </w:tc>
      </w:tr>
      <w:tr>
        <w:tblPrEx>
          <w:tblCellMar>
            <w:top w:w="0" w:type="dxa"/>
            <w:left w:w="10" w:type="dxa"/>
            <w:bottom w:w="0" w:type="dxa"/>
            <w:right w:w="10" w:type="dxa"/>
          </w:tblCellMar>
        </w:tblPrEx>
        <w:trPr>
          <w:trHeight w:val="378" w:hRule="exact"/>
          <w:jc w:val="center"/>
        </w:trPr>
        <w:tc>
          <w:tcPr>
            <w:tcW w:w="2624" w:type="dxa"/>
            <w:shd w:val="clear" w:color="auto" w:fill="FFFFFF"/>
          </w:tcPr>
          <w:p>
            <w:pPr>
              <w:pStyle w:val="11"/>
              <w:spacing w:after="0"/>
            </w:pPr>
            <w:r>
              <w:t>Accounts payable</w:t>
            </w:r>
          </w:p>
        </w:tc>
        <w:tc>
          <w:tcPr>
            <w:tcW w:w="2014" w:type="dxa"/>
            <w:shd w:val="clear" w:color="auto" w:fill="FFFFFF"/>
          </w:tcPr>
          <w:p>
            <w:pPr>
              <w:pStyle w:val="11"/>
              <w:spacing w:after="0"/>
              <w:jc w:val="center"/>
            </w:pPr>
            <w:r>
              <w:t>75.000</w:t>
            </w:r>
          </w:p>
        </w:tc>
        <w:tc>
          <w:tcPr>
            <w:tcW w:w="2270" w:type="dxa"/>
            <w:shd w:val="clear" w:color="auto" w:fill="FFFFFF"/>
          </w:tcPr>
          <w:p>
            <w:pPr>
              <w:pStyle w:val="11"/>
              <w:spacing w:after="0"/>
              <w:ind w:left="1040"/>
            </w:pPr>
            <w:r>
              <w:t>75,000</w:t>
            </w:r>
          </w:p>
        </w:tc>
      </w:tr>
      <w:tr>
        <w:tblPrEx>
          <w:tblCellMar>
            <w:top w:w="0" w:type="dxa"/>
            <w:left w:w="10" w:type="dxa"/>
            <w:bottom w:w="0" w:type="dxa"/>
            <w:right w:w="10" w:type="dxa"/>
          </w:tblCellMar>
        </w:tblPrEx>
        <w:trPr>
          <w:trHeight w:val="317" w:hRule="exact"/>
          <w:jc w:val="center"/>
        </w:trPr>
        <w:tc>
          <w:tcPr>
            <w:tcW w:w="2624" w:type="dxa"/>
            <w:shd w:val="clear" w:color="auto" w:fill="FFFFFF"/>
            <w:vAlign w:val="bottom"/>
          </w:tcPr>
          <w:p>
            <w:pPr>
              <w:pStyle w:val="11"/>
              <w:spacing w:after="0"/>
            </w:pPr>
            <w:r>
              <w:t>Stockholder equity</w:t>
            </w:r>
          </w:p>
        </w:tc>
        <w:tc>
          <w:tcPr>
            <w:tcW w:w="2014" w:type="dxa"/>
            <w:shd w:val="clear" w:color="auto" w:fill="FFFFFF"/>
            <w:vAlign w:val="bottom"/>
          </w:tcPr>
          <w:p>
            <w:pPr>
              <w:pStyle w:val="11"/>
              <w:spacing w:after="0"/>
              <w:ind w:firstLine="700"/>
            </w:pPr>
            <w:r>
              <w:t>275,000</w:t>
            </w:r>
          </w:p>
        </w:tc>
        <w:tc>
          <w:tcPr>
            <w:tcW w:w="2270" w:type="dxa"/>
            <w:shd w:val="clear" w:color="auto" w:fill="FFFFFF"/>
          </w:tcPr>
          <w:p>
            <w:pPr>
              <w:rPr>
                <w:sz w:val="10"/>
                <w:szCs w:val="10"/>
              </w:rPr>
            </w:pPr>
          </w:p>
        </w:tc>
      </w:tr>
    </w:tbl>
    <w:p>
      <w:pPr>
        <w:spacing w:after="99" w:line="1" w:lineRule="exact"/>
      </w:pPr>
    </w:p>
    <w:p>
      <w:pPr>
        <w:pStyle w:val="9"/>
        <w:spacing w:after="100"/>
      </w:pPr>
      <w:r>
        <w:t>Nelson should record what amount of goodwill as a result of this acquisition?</w:t>
      </w:r>
    </w:p>
    <w:p>
      <w:pPr>
        <w:pStyle w:val="9"/>
        <w:numPr>
          <w:ilvl w:val="0"/>
          <w:numId w:val="12"/>
        </w:numPr>
        <w:tabs>
          <w:tab w:val="left" w:pos="530"/>
        </w:tabs>
        <w:spacing w:after="100"/>
      </w:pPr>
      <w:bookmarkStart w:id="49" w:name="bookmark54"/>
      <w:bookmarkEnd w:id="49"/>
      <w:r>
        <w:t>S350.000</w:t>
      </w:r>
    </w:p>
    <w:p>
      <w:pPr>
        <w:pStyle w:val="9"/>
        <w:numPr>
          <w:ilvl w:val="0"/>
          <w:numId w:val="12"/>
        </w:numPr>
        <w:tabs>
          <w:tab w:val="left" w:pos="530"/>
        </w:tabs>
        <w:spacing w:after="100"/>
      </w:pPr>
      <w:bookmarkStart w:id="50" w:name="bookmark55"/>
      <w:bookmarkEnd w:id="50"/>
      <w:r>
        <w:t>$425,000</w:t>
      </w:r>
    </w:p>
    <w:p>
      <w:pPr>
        <w:pStyle w:val="9"/>
        <w:numPr>
          <w:ilvl w:val="0"/>
          <w:numId w:val="12"/>
        </w:numPr>
        <w:tabs>
          <w:tab w:val="left" w:pos="530"/>
        </w:tabs>
        <w:spacing w:after="100"/>
      </w:pPr>
      <w:bookmarkStart w:id="51" w:name="bookmark56"/>
      <w:bookmarkEnd w:id="51"/>
      <w:r>
        <w:t>$725,000</w:t>
      </w:r>
    </w:p>
    <w:p>
      <w:pPr>
        <w:pStyle w:val="9"/>
        <w:tabs>
          <w:tab w:val="left" w:pos="530"/>
        </w:tabs>
        <w:spacing w:after="100"/>
      </w:pPr>
      <w:r>
        <w:t>D</w:t>
      </w:r>
      <w:r>
        <w:tab/>
      </w:r>
      <w:r>
        <w:t>S1.000.000</w:t>
      </w:r>
    </w:p>
    <w:p>
      <w:pPr>
        <w:pStyle w:val="9"/>
        <w:numPr>
          <w:ilvl w:val="0"/>
          <w:numId w:val="6"/>
        </w:numPr>
        <w:tabs>
          <w:tab w:val="left" w:pos="378"/>
        </w:tabs>
        <w:spacing w:before="680" w:after="60"/>
        <w:ind w:hanging="360"/>
        <w:rPr>
          <w:b/>
          <w:bCs/>
        </w:rPr>
      </w:pPr>
      <w:bookmarkStart w:id="52" w:name="bookmark57"/>
      <w:bookmarkEnd w:id="52"/>
      <w:r>
        <w:rPr>
          <w:b/>
          <w:bCs/>
        </w:rPr>
        <w:t>MCQ-14842</w:t>
      </w:r>
    </w:p>
    <w:p>
      <w:pPr>
        <w:pStyle w:val="9"/>
        <w:spacing w:after="100"/>
        <w:jc w:val="both"/>
      </w:pPr>
      <w:r>
        <w:t>Thompson Corp. owned a machine that cost $80,000 and had accumulated depreciation of $50,000, an estimated salvage value of $5,000, and a fair value of $150,000. In January, the machine was damaged by Snow Corp, and became worthless. In October, a court awarded damages of $150,000 against Snow in favor of Thompson. On December 31, the final outcome of the case was awaiting appeal. Thompson's attorney believes Snow's appeal will be denied. What amount should Thompson accrue for this gain contingency on December 31?</w:t>
      </w:r>
    </w:p>
    <w:p>
      <w:pPr>
        <w:pStyle w:val="9"/>
        <w:numPr>
          <w:ilvl w:val="0"/>
          <w:numId w:val="13"/>
        </w:numPr>
        <w:tabs>
          <w:tab w:val="left" w:pos="551"/>
        </w:tabs>
        <w:spacing w:after="100"/>
        <w:jc w:val="both"/>
      </w:pPr>
      <w:bookmarkStart w:id="53" w:name="bookmark58"/>
      <w:bookmarkEnd w:id="53"/>
      <w:r>
        <w:t>$0</w:t>
      </w:r>
    </w:p>
    <w:p>
      <w:pPr>
        <w:pStyle w:val="9"/>
        <w:numPr>
          <w:ilvl w:val="0"/>
          <w:numId w:val="13"/>
        </w:numPr>
        <w:tabs>
          <w:tab w:val="left" w:pos="551"/>
        </w:tabs>
        <w:spacing w:after="100"/>
        <w:jc w:val="both"/>
      </w:pPr>
      <w:bookmarkStart w:id="54" w:name="bookmark59"/>
      <w:bookmarkEnd w:id="54"/>
      <w:r>
        <w:t>$5,000</w:t>
      </w:r>
    </w:p>
    <w:p>
      <w:pPr>
        <w:pStyle w:val="9"/>
        <w:numPr>
          <w:ilvl w:val="0"/>
          <w:numId w:val="13"/>
        </w:numPr>
        <w:tabs>
          <w:tab w:val="left" w:pos="551"/>
        </w:tabs>
        <w:spacing w:after="100"/>
        <w:jc w:val="both"/>
      </w:pPr>
      <w:bookmarkStart w:id="55" w:name="bookmark60"/>
      <w:bookmarkEnd w:id="55"/>
      <w:r>
        <w:t>$125,000</w:t>
      </w:r>
    </w:p>
    <w:p>
      <w:pPr>
        <w:pStyle w:val="9"/>
        <w:numPr>
          <w:ilvl w:val="0"/>
          <w:numId w:val="13"/>
        </w:numPr>
        <w:tabs>
          <w:tab w:val="left" w:pos="551"/>
        </w:tabs>
        <w:spacing w:after="100"/>
        <w:jc w:val="both"/>
      </w:pPr>
      <w:bookmarkStart w:id="56" w:name="bookmark61"/>
      <w:bookmarkEnd w:id="56"/>
      <w:r>
        <w:t>$150,000</w:t>
      </w:r>
    </w:p>
    <w:p>
      <w:pPr>
        <w:pStyle w:val="9"/>
        <w:tabs>
          <w:tab w:val="left" w:pos="551"/>
        </w:tabs>
        <w:spacing w:after="100"/>
        <w:jc w:val="both"/>
      </w:pPr>
    </w:p>
    <w:p>
      <w:pPr>
        <w:pStyle w:val="9"/>
        <w:numPr>
          <w:ilvl w:val="0"/>
          <w:numId w:val="6"/>
        </w:numPr>
        <w:tabs>
          <w:tab w:val="left" w:pos="378"/>
        </w:tabs>
        <w:spacing w:before="680" w:after="60"/>
        <w:ind w:hanging="360"/>
        <w:rPr>
          <w:b/>
          <w:bCs/>
        </w:rPr>
      </w:pPr>
      <w:bookmarkStart w:id="57" w:name="bookmark62"/>
      <w:bookmarkEnd w:id="57"/>
      <w:r>
        <w:rPr>
          <w:b/>
          <w:bCs/>
        </w:rPr>
        <w:t>MCQ-14843</w:t>
      </w:r>
    </w:p>
    <w:p>
      <w:pPr>
        <w:pStyle w:val="9"/>
        <w:spacing w:line="233" w:lineRule="auto"/>
      </w:pPr>
      <w:r>
        <w:t>Arctic Corp., located in India, was a wholly-owned foreign subsidiary of Axis Corp. Arctic's primary economic environment was within the country of India. On a limited basis. Axis made transactions with its subsidiary denominated in U.S. dollars. At year-end, what would be the functional currency for Arctic?</w:t>
      </w:r>
    </w:p>
    <w:p>
      <w:pPr>
        <w:pStyle w:val="9"/>
        <w:numPr>
          <w:ilvl w:val="0"/>
          <w:numId w:val="14"/>
        </w:numPr>
        <w:tabs>
          <w:tab w:val="left" w:pos="564"/>
        </w:tabs>
        <w:spacing w:line="233" w:lineRule="auto"/>
        <w:jc w:val="both"/>
      </w:pPr>
      <w:bookmarkStart w:id="58" w:name="bookmark63"/>
      <w:bookmarkEnd w:id="58"/>
      <w:r>
        <w:t>The U.S. dollar</w:t>
      </w:r>
    </w:p>
    <w:p>
      <w:pPr>
        <w:pStyle w:val="9"/>
        <w:numPr>
          <w:ilvl w:val="0"/>
          <w:numId w:val="14"/>
        </w:numPr>
        <w:tabs>
          <w:tab w:val="left" w:pos="564"/>
        </w:tabs>
        <w:spacing w:line="233" w:lineRule="auto"/>
        <w:jc w:val="both"/>
      </w:pPr>
      <w:bookmarkStart w:id="59" w:name="bookmark64"/>
      <w:bookmarkEnd w:id="59"/>
      <w:r>
        <w:t>The local currency</w:t>
      </w:r>
    </w:p>
    <w:p>
      <w:pPr>
        <w:pStyle w:val="9"/>
        <w:numPr>
          <w:ilvl w:val="0"/>
          <w:numId w:val="14"/>
        </w:numPr>
        <w:tabs>
          <w:tab w:val="left" w:pos="564"/>
        </w:tabs>
        <w:spacing w:line="233" w:lineRule="auto"/>
        <w:jc w:val="both"/>
      </w:pPr>
      <w:bookmarkStart w:id="60" w:name="bookmark65"/>
      <w:bookmarkEnd w:id="60"/>
      <w:r>
        <w:t>Dependent on each transaction</w:t>
      </w:r>
    </w:p>
    <w:p>
      <w:pPr>
        <w:pStyle w:val="9"/>
        <w:numPr>
          <w:ilvl w:val="0"/>
          <w:numId w:val="14"/>
        </w:numPr>
        <w:tabs>
          <w:tab w:val="left" w:pos="564"/>
        </w:tabs>
        <w:spacing w:line="233" w:lineRule="auto"/>
        <w:jc w:val="both"/>
      </w:pPr>
      <w:bookmarkStart w:id="61" w:name="bookmark66"/>
      <w:bookmarkEnd w:id="61"/>
      <w:r>
        <w:t>The parent company's currency</w:t>
      </w:r>
    </w:p>
    <w:p>
      <w:pPr>
        <w:pStyle w:val="9"/>
        <w:spacing w:after="100"/>
      </w:pPr>
    </w:p>
    <w:p>
      <w:pPr>
        <w:pStyle w:val="9"/>
        <w:spacing w:after="100"/>
      </w:pPr>
    </w:p>
    <w:p>
      <w:pPr>
        <w:pStyle w:val="9"/>
        <w:spacing w:after="100"/>
      </w:pPr>
    </w:p>
    <w:p>
      <w:pPr>
        <w:pStyle w:val="9"/>
        <w:numPr>
          <w:ilvl w:val="0"/>
          <w:numId w:val="6"/>
        </w:numPr>
        <w:tabs>
          <w:tab w:val="left" w:pos="378"/>
        </w:tabs>
        <w:spacing w:before="680" w:after="60"/>
        <w:ind w:hanging="360"/>
        <w:rPr>
          <w:b/>
          <w:bCs/>
        </w:rPr>
      </w:pPr>
      <w:bookmarkStart w:id="62" w:name="bookmark67"/>
      <w:bookmarkEnd w:id="62"/>
      <w:r>
        <w:rPr>
          <w:b/>
          <w:bCs/>
        </w:rPr>
        <w:t>MCQ-14844</w:t>
      </w:r>
    </w:p>
    <w:p>
      <w:pPr>
        <w:pStyle w:val="9"/>
      </w:pPr>
      <w:r>
        <w:t>Arc Hospital received an unconditional pledge for $1 million, which will be paid in four installments of $250,000 over four years. What amount of installment pledge revenue should be recognized in the second year?</w:t>
      </w:r>
    </w:p>
    <w:p>
      <w:pPr>
        <w:pStyle w:val="9"/>
        <w:numPr>
          <w:ilvl w:val="0"/>
          <w:numId w:val="15"/>
        </w:numPr>
        <w:tabs>
          <w:tab w:val="left" w:pos="576"/>
        </w:tabs>
      </w:pPr>
      <w:bookmarkStart w:id="63" w:name="bookmark68"/>
      <w:bookmarkEnd w:id="63"/>
      <w:r>
        <w:t>$0</w:t>
      </w:r>
    </w:p>
    <w:p>
      <w:pPr>
        <w:pStyle w:val="9"/>
        <w:numPr>
          <w:ilvl w:val="0"/>
          <w:numId w:val="15"/>
        </w:numPr>
        <w:tabs>
          <w:tab w:val="left" w:pos="576"/>
        </w:tabs>
      </w:pPr>
      <w:bookmarkStart w:id="64" w:name="bookmark69"/>
      <w:bookmarkEnd w:id="64"/>
      <w:r>
        <w:t>$250,000</w:t>
      </w:r>
    </w:p>
    <w:p>
      <w:pPr>
        <w:pStyle w:val="9"/>
        <w:numPr>
          <w:ilvl w:val="0"/>
          <w:numId w:val="15"/>
        </w:numPr>
        <w:tabs>
          <w:tab w:val="left" w:pos="576"/>
        </w:tabs>
      </w:pPr>
      <w:bookmarkStart w:id="65" w:name="bookmark70"/>
      <w:bookmarkEnd w:id="65"/>
      <w:r>
        <w:t>$500,000</w:t>
      </w:r>
    </w:p>
    <w:p>
      <w:pPr>
        <w:pStyle w:val="9"/>
        <w:numPr>
          <w:ilvl w:val="0"/>
          <w:numId w:val="15"/>
        </w:numPr>
        <w:tabs>
          <w:tab w:val="left" w:pos="576"/>
        </w:tabs>
      </w:pPr>
      <w:bookmarkStart w:id="66" w:name="bookmark71"/>
      <w:bookmarkEnd w:id="66"/>
      <w:r>
        <w:t>$1,000,000</w:t>
      </w:r>
    </w:p>
    <w:p>
      <w:pPr>
        <w:pStyle w:val="9"/>
        <w:rPr>
          <w:rFonts w:hint="eastAsia" w:eastAsia="宋体"/>
          <w:lang w:eastAsia="zh-CN"/>
        </w:rPr>
      </w:pPr>
      <w:r>
        <w:rPr>
          <w:rFonts w:hint="eastAsia" w:eastAsia="宋体"/>
          <w:lang w:eastAsia="zh-CN"/>
        </w:rPr>
        <w:drawing>
          <wp:inline distT="0" distB="0" distL="114300" distR="114300">
            <wp:extent cx="5726430" cy="5726430"/>
            <wp:effectExtent l="0" t="0" r="7620" b="7620"/>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6"/>
                    <a:stretch>
                      <a:fillRect/>
                    </a:stretch>
                  </pic:blipFill>
                  <pic:spPr>
                    <a:xfrm>
                      <a:off x="0" y="0"/>
                      <a:ext cx="5726430" cy="5726430"/>
                    </a:xfrm>
                    <a:prstGeom prst="rect">
                      <a:avLst/>
                    </a:prstGeom>
                  </pic:spPr>
                </pic:pic>
              </a:graphicData>
            </a:graphic>
          </wp:inline>
        </w:drawing>
      </w:r>
      <w:bookmarkStart w:id="67" w:name="_GoBack"/>
      <w:bookmarkEnd w:id="67"/>
    </w:p>
    <w:sectPr>
      <w:pgSz w:w="11900" w:h="16840"/>
      <w:pgMar w:top="1440" w:right="1440" w:bottom="1440" w:left="1440" w:header="5923" w:footer="567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singleLevel"/>
    <w:tmpl w:val="845B537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B8CEF35B"/>
    <w:multiLevelType w:val="singleLevel"/>
    <w:tmpl w:val="B8CEF35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nsid w:val="CD52039E"/>
    <w:multiLevelType w:val="singleLevel"/>
    <w:tmpl w:val="CD52039E"/>
    <w:lvl w:ilvl="0" w:tentative="0">
      <w:start w:val="1"/>
      <w:numFmt w:val="decimal"/>
      <w:suff w:val="space"/>
      <w:lvlText w:val="%1."/>
      <w:lvlJc w:val="left"/>
    </w:lvl>
  </w:abstractNum>
  <w:abstractNum w:abstractNumId="3">
    <w:nsid w:val="D7D140E4"/>
    <w:multiLevelType w:val="singleLevel"/>
    <w:tmpl w:val="D7D140E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0CEF100B"/>
    <w:multiLevelType w:val="singleLevel"/>
    <w:tmpl w:val="0CEF100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5">
    <w:nsid w:val="1ACDE60F"/>
    <w:multiLevelType w:val="singleLevel"/>
    <w:tmpl w:val="1ACDE60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1C257C7B"/>
    <w:multiLevelType w:val="singleLevel"/>
    <w:tmpl w:val="1C257C7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
    <w:nsid w:val="30FC5B15"/>
    <w:multiLevelType w:val="singleLevel"/>
    <w:tmpl w:val="30FC5B1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
    <w:nsid w:val="322D85CA"/>
    <w:multiLevelType w:val="singleLevel"/>
    <w:tmpl w:val="322D85C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4D94DA66"/>
    <w:multiLevelType w:val="singleLevel"/>
    <w:tmpl w:val="4D94DA6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5E29AB5A"/>
    <w:multiLevelType w:val="singleLevel"/>
    <w:tmpl w:val="5E29AB5A"/>
    <w:lvl w:ilvl="0" w:tentative="0">
      <w:start w:val="7"/>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2"/>
        <w:szCs w:val="22"/>
        <w:u w:val="none"/>
        <w:shd w:val="clear" w:color="auto" w:fill="FFFFFF"/>
        <w:lang w:val="en-US" w:eastAsia="en-US" w:bidi="en-US"/>
      </w:rPr>
    </w:lvl>
  </w:abstractNum>
  <w:abstractNum w:abstractNumId="11">
    <w:nsid w:val="5FFFB1A7"/>
    <w:multiLevelType w:val="singleLevel"/>
    <w:tmpl w:val="5FFFB1A7"/>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65CD0074"/>
    <w:multiLevelType w:val="singleLevel"/>
    <w:tmpl w:val="65CD007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3">
    <w:nsid w:val="74C28B35"/>
    <w:multiLevelType w:val="singleLevel"/>
    <w:tmpl w:val="74C28B3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nsid w:val="79AA4FA4"/>
    <w:multiLevelType w:val="singleLevel"/>
    <w:tmpl w:val="79AA4FA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2"/>
  </w:num>
  <w:num w:numId="2">
    <w:abstractNumId w:val="9"/>
  </w:num>
  <w:num w:numId="3">
    <w:abstractNumId w:val="7"/>
  </w:num>
  <w:num w:numId="4">
    <w:abstractNumId w:val="14"/>
  </w:num>
  <w:num w:numId="5">
    <w:abstractNumId w:val="1"/>
  </w:num>
  <w:num w:numId="6">
    <w:abstractNumId w:val="10"/>
  </w:num>
  <w:num w:numId="7">
    <w:abstractNumId w:val="0"/>
  </w:num>
  <w:num w:numId="8">
    <w:abstractNumId w:val="5"/>
  </w:num>
  <w:num w:numId="9">
    <w:abstractNumId w:val="11"/>
  </w:num>
  <w:num w:numId="10">
    <w:abstractNumId w:val="13"/>
  </w:num>
  <w:num w:numId="11">
    <w:abstractNumId w:val="8"/>
  </w:num>
  <w:num w:numId="12">
    <w:abstractNumId w:val="12"/>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xNzA3MzIwNzliMmZlMmJkYzc1ZWY4OTMxYTg1ZTgifQ=="/>
  </w:docVars>
  <w:rsids>
    <w:rsidRoot w:val="00AB40F5"/>
    <w:rsid w:val="00007041"/>
    <w:rsid w:val="000834BB"/>
    <w:rsid w:val="000956EC"/>
    <w:rsid w:val="000E4356"/>
    <w:rsid w:val="00107F70"/>
    <w:rsid w:val="00117430"/>
    <w:rsid w:val="00123C7E"/>
    <w:rsid w:val="00130100"/>
    <w:rsid w:val="0014360D"/>
    <w:rsid w:val="001A0E7E"/>
    <w:rsid w:val="001E61A0"/>
    <w:rsid w:val="001F0AD8"/>
    <w:rsid w:val="002038B6"/>
    <w:rsid w:val="00204DB6"/>
    <w:rsid w:val="002106B6"/>
    <w:rsid w:val="002157DC"/>
    <w:rsid w:val="002162D4"/>
    <w:rsid w:val="002746CD"/>
    <w:rsid w:val="00291839"/>
    <w:rsid w:val="002B2718"/>
    <w:rsid w:val="002F4FC0"/>
    <w:rsid w:val="00356CBF"/>
    <w:rsid w:val="0037191C"/>
    <w:rsid w:val="00392D0A"/>
    <w:rsid w:val="0039738C"/>
    <w:rsid w:val="003D70AC"/>
    <w:rsid w:val="00402942"/>
    <w:rsid w:val="00440B29"/>
    <w:rsid w:val="0045131F"/>
    <w:rsid w:val="004566F5"/>
    <w:rsid w:val="00486936"/>
    <w:rsid w:val="004A2AAB"/>
    <w:rsid w:val="004B50A1"/>
    <w:rsid w:val="004C02F6"/>
    <w:rsid w:val="004C3696"/>
    <w:rsid w:val="004F38E9"/>
    <w:rsid w:val="00504243"/>
    <w:rsid w:val="00510F9F"/>
    <w:rsid w:val="00514722"/>
    <w:rsid w:val="00531CED"/>
    <w:rsid w:val="00535672"/>
    <w:rsid w:val="0058583F"/>
    <w:rsid w:val="005A0AE1"/>
    <w:rsid w:val="005D2472"/>
    <w:rsid w:val="00615542"/>
    <w:rsid w:val="006168DE"/>
    <w:rsid w:val="006A2924"/>
    <w:rsid w:val="006B0598"/>
    <w:rsid w:val="006C751C"/>
    <w:rsid w:val="006E392B"/>
    <w:rsid w:val="00717465"/>
    <w:rsid w:val="00727F18"/>
    <w:rsid w:val="00765A50"/>
    <w:rsid w:val="0076785B"/>
    <w:rsid w:val="00772BEE"/>
    <w:rsid w:val="00793F16"/>
    <w:rsid w:val="007A280A"/>
    <w:rsid w:val="007D51C8"/>
    <w:rsid w:val="007D5322"/>
    <w:rsid w:val="007F5CF5"/>
    <w:rsid w:val="008070FB"/>
    <w:rsid w:val="008319E9"/>
    <w:rsid w:val="00845D80"/>
    <w:rsid w:val="008720D8"/>
    <w:rsid w:val="008753D3"/>
    <w:rsid w:val="00880055"/>
    <w:rsid w:val="00880F08"/>
    <w:rsid w:val="00887AEB"/>
    <w:rsid w:val="008B4E9D"/>
    <w:rsid w:val="008B57DD"/>
    <w:rsid w:val="008C2451"/>
    <w:rsid w:val="008C7AA7"/>
    <w:rsid w:val="008F4AE2"/>
    <w:rsid w:val="0092005F"/>
    <w:rsid w:val="00921F57"/>
    <w:rsid w:val="009224AD"/>
    <w:rsid w:val="00960D45"/>
    <w:rsid w:val="00964523"/>
    <w:rsid w:val="00967D09"/>
    <w:rsid w:val="00981032"/>
    <w:rsid w:val="009911D6"/>
    <w:rsid w:val="009969BB"/>
    <w:rsid w:val="009A2359"/>
    <w:rsid w:val="009A704F"/>
    <w:rsid w:val="009D24CF"/>
    <w:rsid w:val="00A11D44"/>
    <w:rsid w:val="00A14437"/>
    <w:rsid w:val="00A24C36"/>
    <w:rsid w:val="00A2651A"/>
    <w:rsid w:val="00A2668E"/>
    <w:rsid w:val="00A36DF3"/>
    <w:rsid w:val="00A43BD9"/>
    <w:rsid w:val="00A8061C"/>
    <w:rsid w:val="00A97A29"/>
    <w:rsid w:val="00AA01E1"/>
    <w:rsid w:val="00AA44A1"/>
    <w:rsid w:val="00AA46D9"/>
    <w:rsid w:val="00AB2CFC"/>
    <w:rsid w:val="00AB40F5"/>
    <w:rsid w:val="00AD4313"/>
    <w:rsid w:val="00AE095A"/>
    <w:rsid w:val="00B74C21"/>
    <w:rsid w:val="00B7638B"/>
    <w:rsid w:val="00B84326"/>
    <w:rsid w:val="00B856A0"/>
    <w:rsid w:val="00B86F5A"/>
    <w:rsid w:val="00BA1743"/>
    <w:rsid w:val="00BA1AC6"/>
    <w:rsid w:val="00BC71D9"/>
    <w:rsid w:val="00BF0D26"/>
    <w:rsid w:val="00C1333F"/>
    <w:rsid w:val="00C14121"/>
    <w:rsid w:val="00C22CED"/>
    <w:rsid w:val="00C3686E"/>
    <w:rsid w:val="00C71FF7"/>
    <w:rsid w:val="00CA3CD7"/>
    <w:rsid w:val="00CA620C"/>
    <w:rsid w:val="00CF097C"/>
    <w:rsid w:val="00D0588B"/>
    <w:rsid w:val="00D20858"/>
    <w:rsid w:val="00D269C3"/>
    <w:rsid w:val="00D4365B"/>
    <w:rsid w:val="00D50D49"/>
    <w:rsid w:val="00DA7CCD"/>
    <w:rsid w:val="00DC1711"/>
    <w:rsid w:val="00DF323D"/>
    <w:rsid w:val="00DF5E3D"/>
    <w:rsid w:val="00E00726"/>
    <w:rsid w:val="00E24F9F"/>
    <w:rsid w:val="00E960DC"/>
    <w:rsid w:val="00E9656F"/>
    <w:rsid w:val="00EA4AF3"/>
    <w:rsid w:val="00EA685F"/>
    <w:rsid w:val="00EC5538"/>
    <w:rsid w:val="00ED4E25"/>
    <w:rsid w:val="00EF524A"/>
    <w:rsid w:val="00F31802"/>
    <w:rsid w:val="00F83B17"/>
    <w:rsid w:val="00FA2B34"/>
    <w:rsid w:val="00FC0006"/>
    <w:rsid w:val="00FC6889"/>
    <w:rsid w:val="00FF5C36"/>
    <w:rsid w:val="1A17514F"/>
    <w:rsid w:val="20217CA2"/>
    <w:rsid w:val="26E3559D"/>
    <w:rsid w:val="4EEF2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7"/>
    <w:qFormat/>
    <w:uiPriority w:val="0"/>
    <w:pPr>
      <w:tabs>
        <w:tab w:val="center" w:pos="4320"/>
        <w:tab w:val="right" w:pos="8640"/>
      </w:tabs>
    </w:pPr>
  </w:style>
  <w:style w:type="paragraph" w:styleId="3">
    <w:name w:val="header"/>
    <w:basedOn w:val="1"/>
    <w:link w:val="16"/>
    <w:qFormat/>
    <w:uiPriority w:val="0"/>
    <w:pPr>
      <w:tabs>
        <w:tab w:val="center" w:pos="4320"/>
        <w:tab w:val="right" w:pos="8640"/>
      </w:tabs>
    </w:pPr>
  </w:style>
  <w:style w:type="paragraph" w:styleId="4">
    <w:name w:val="Normal (Web)"/>
    <w:basedOn w:val="1"/>
    <w:qFormat/>
    <w:uiPriority w:val="0"/>
    <w:pPr>
      <w:spacing w:beforeAutospacing="1" w:afterAutospacing="1"/>
    </w:pPr>
    <w:rPr>
      <w:lang w:eastAsia="zh-CN" w:bidi="ar-SA"/>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Body text|1_"/>
    <w:basedOn w:val="7"/>
    <w:link w:val="9"/>
    <w:qFormat/>
    <w:uiPriority w:val="0"/>
    <w:rPr>
      <w:sz w:val="22"/>
      <w:szCs w:val="22"/>
      <w:u w:val="none"/>
      <w:shd w:val="clear" w:color="auto" w:fill="auto"/>
    </w:rPr>
  </w:style>
  <w:style w:type="paragraph" w:customStyle="1" w:styleId="9">
    <w:name w:val="Body text|1"/>
    <w:basedOn w:val="1"/>
    <w:link w:val="8"/>
    <w:qFormat/>
    <w:uiPriority w:val="0"/>
    <w:pPr>
      <w:spacing w:after="120"/>
    </w:pPr>
    <w:rPr>
      <w:sz w:val="22"/>
      <w:szCs w:val="22"/>
    </w:rPr>
  </w:style>
  <w:style w:type="character" w:customStyle="1" w:styleId="10">
    <w:name w:val="Other|1_"/>
    <w:basedOn w:val="7"/>
    <w:link w:val="11"/>
    <w:qFormat/>
    <w:uiPriority w:val="0"/>
    <w:rPr>
      <w:sz w:val="22"/>
      <w:szCs w:val="22"/>
      <w:u w:val="none"/>
      <w:shd w:val="clear" w:color="auto" w:fill="auto"/>
    </w:rPr>
  </w:style>
  <w:style w:type="paragraph" w:customStyle="1" w:styleId="11">
    <w:name w:val="Other|1"/>
    <w:basedOn w:val="1"/>
    <w:link w:val="10"/>
    <w:qFormat/>
    <w:uiPriority w:val="0"/>
    <w:pPr>
      <w:spacing w:after="120"/>
    </w:pPr>
    <w:rPr>
      <w:sz w:val="22"/>
      <w:szCs w:val="22"/>
    </w:rPr>
  </w:style>
  <w:style w:type="character" w:customStyle="1" w:styleId="12">
    <w:name w:val="Table caption|1_"/>
    <w:basedOn w:val="7"/>
    <w:link w:val="13"/>
    <w:qFormat/>
    <w:uiPriority w:val="0"/>
    <w:rPr>
      <w:sz w:val="22"/>
      <w:szCs w:val="22"/>
      <w:u w:val="none"/>
      <w:shd w:val="clear" w:color="auto" w:fill="auto"/>
    </w:rPr>
  </w:style>
  <w:style w:type="paragraph" w:customStyle="1" w:styleId="13">
    <w:name w:val="Table caption|1"/>
    <w:basedOn w:val="1"/>
    <w:link w:val="12"/>
    <w:qFormat/>
    <w:uiPriority w:val="0"/>
    <w:rPr>
      <w:sz w:val="22"/>
      <w:szCs w:val="22"/>
    </w:rPr>
  </w:style>
  <w:style w:type="character" w:customStyle="1" w:styleId="14">
    <w:name w:val="Body text|2_"/>
    <w:basedOn w:val="7"/>
    <w:link w:val="15"/>
    <w:qFormat/>
    <w:uiPriority w:val="0"/>
    <w:rPr>
      <w:color w:val="000000"/>
      <w:sz w:val="28"/>
      <w:szCs w:val="28"/>
      <w:u w:val="none"/>
      <w:shd w:val="clear" w:color="auto" w:fill="auto"/>
    </w:rPr>
  </w:style>
  <w:style w:type="paragraph" w:customStyle="1" w:styleId="15">
    <w:name w:val="Body text|2"/>
    <w:basedOn w:val="1"/>
    <w:link w:val="14"/>
    <w:qFormat/>
    <w:uiPriority w:val="0"/>
    <w:pPr>
      <w:spacing w:after="120"/>
      <w:ind w:firstLine="600"/>
    </w:pPr>
    <w:rPr>
      <w:sz w:val="28"/>
      <w:szCs w:val="28"/>
    </w:rPr>
  </w:style>
  <w:style w:type="character" w:customStyle="1" w:styleId="16">
    <w:name w:val="Header Char"/>
    <w:basedOn w:val="7"/>
    <w:link w:val="3"/>
    <w:qFormat/>
    <w:uiPriority w:val="0"/>
    <w:rPr>
      <w:rFonts w:eastAsia="Times New Roman"/>
      <w:color w:val="000000"/>
      <w:sz w:val="24"/>
      <w:szCs w:val="24"/>
      <w:lang w:eastAsia="en-US" w:bidi="en-US"/>
    </w:rPr>
  </w:style>
  <w:style w:type="character" w:customStyle="1" w:styleId="17">
    <w:name w:val="Footer Char"/>
    <w:basedOn w:val="7"/>
    <w:link w:val="2"/>
    <w:qFormat/>
    <w:uiPriority w:val="0"/>
    <w:rPr>
      <w:rFonts w:eastAsia="Times New Roman"/>
      <w:color w:val="000000"/>
      <w:sz w:val="24"/>
      <w:szCs w:val="24"/>
      <w:lang w:eastAsia="en-US" w:bidi="en-US"/>
    </w:rPr>
  </w:style>
  <w:style w:type="paragraph" w:customStyle="1" w:styleId="18">
    <w:name w:val="Revision"/>
    <w:hidden/>
    <w:semiHidden/>
    <w:qFormat/>
    <w:uiPriority w:val="99"/>
    <w:rPr>
      <w:rFonts w:ascii="Times New Roman" w:hAnsi="Times New Roman" w:eastAsia="Times New Roman" w:cs="Times New Roman"/>
      <w:color w:val="000000"/>
      <w:sz w:val="24"/>
      <w:szCs w:val="24"/>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E588A-AE9D-442B-BCD1-B257FC656637}">
  <ds:schemaRefs/>
</ds:datastoreItem>
</file>

<file path=docProps/app.xml><?xml version="1.0" encoding="utf-8"?>
<Properties xmlns="http://schemas.openxmlformats.org/officeDocument/2006/extended-properties" xmlns:vt="http://schemas.openxmlformats.org/officeDocument/2006/docPropsVTypes">
  <Template>Normal</Template>
  <Pages>5</Pages>
  <Words>954</Words>
  <Characters>5178</Characters>
  <Lines>265</Lines>
  <Paragraphs>74</Paragraphs>
  <TotalTime>2890</TotalTime>
  <ScaleCrop>false</ScaleCrop>
  <LinksUpToDate>false</LinksUpToDate>
  <CharactersWithSpaces>5967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2022-02-18T20:01:00Z</dcterms:created>
  <dc:creator>Administrator</dc:creator>
  <cp:lastModifiedBy>Darren</cp:lastModifiedBy>
  <dcterms:modified xsi:type="dcterms:W3CDTF">2023-05-29T09:06:00Z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8066465483AC435D8801C9174F7E037F</vt:lpwstr>
  </property>
</Properties>
</file>