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sz w:val="22"/>
          <w:szCs w:val="22"/>
          <w:lang w:eastAsia="zh-CN"/>
        </w:rPr>
      </w:pPr>
      <w:r>
        <w:rPr>
          <w:rFonts w:hint="eastAsia" w:eastAsiaTheme="minorEastAsia"/>
          <w:sz w:val="22"/>
          <w:szCs w:val="22"/>
          <w:lang w:eastAsia="zh-CN"/>
        </w:rPr>
        <w:drawing>
          <wp:inline distT="0" distB="0" distL="114300" distR="114300">
            <wp:extent cx="5941060" cy="5941060"/>
            <wp:effectExtent l="0" t="0" r="2540" b="254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4"/>
                    <a:stretch>
                      <a:fillRect/>
                    </a:stretch>
                  </pic:blipFill>
                  <pic:spPr>
                    <a:xfrm>
                      <a:off x="0" y="0"/>
                      <a:ext cx="5941060" cy="5941060"/>
                    </a:xfrm>
                    <a:prstGeom prst="rect">
                      <a:avLst/>
                    </a:prstGeom>
                  </pic:spPr>
                </pic:pic>
              </a:graphicData>
            </a:graphic>
          </wp:inline>
        </w:drawing>
      </w:r>
    </w:p>
    <w:p>
      <w:pPr>
        <w:rPr>
          <w:sz w:val="22"/>
          <w:szCs w:val="22"/>
        </w:rPr>
      </w:pPr>
      <w:r>
        <w:rPr>
          <w:sz w:val="22"/>
          <w:szCs w:val="22"/>
        </w:rPr>
        <w:t>1.</w:t>
      </w:r>
    </w:p>
    <w:p>
      <w:pPr>
        <w:rPr>
          <w:rFonts w:eastAsia="Times New Roman"/>
          <w:color w:val="333333"/>
          <w:sz w:val="22"/>
          <w:szCs w:val="22"/>
          <w:shd w:val="clear" w:color="auto" w:fill="FBFFE4"/>
        </w:rPr>
      </w:pPr>
      <w:r>
        <w:rPr>
          <w:sz w:val="22"/>
          <w:szCs w:val="22"/>
        </w:rPr>
        <w:t>Each of the following is a required characteristic of a review engagement of management's discussion and analysis (MD&amp;A), except:</w:t>
      </w:r>
    </w:p>
    <w:p>
      <w:pPr>
        <w:pStyle w:val="13"/>
        <w:numPr>
          <w:ilvl w:val="0"/>
          <w:numId w:val="1"/>
        </w:numPr>
        <w:rPr>
          <w:rFonts w:ascii="Times New Roman" w:hAnsi="Times New Roman" w:cs="Times New Roman"/>
        </w:rPr>
      </w:pPr>
      <w:r>
        <w:rPr>
          <w:rFonts w:ascii="Times New Roman" w:hAnsi="Times New Roman" w:cs="Times New Roman"/>
        </w:rPr>
        <w:t>It consists principally of applying tests of details through inspection, observation, and confirmation.</w:t>
      </w:r>
    </w:p>
    <w:p>
      <w:pPr>
        <w:pStyle w:val="13"/>
        <w:numPr>
          <w:ilvl w:val="0"/>
          <w:numId w:val="1"/>
        </w:numPr>
        <w:rPr>
          <w:rFonts w:ascii="Times New Roman" w:hAnsi="Times New Roman" w:cs="Times New Roman"/>
        </w:rPr>
      </w:pPr>
      <w:r>
        <w:rPr>
          <w:rFonts w:ascii="Times New Roman" w:hAnsi="Times New Roman" w:cs="Times New Roman"/>
        </w:rPr>
        <w:t>The practitioner applies analytical procedures.</w:t>
      </w:r>
    </w:p>
    <w:p>
      <w:pPr>
        <w:pStyle w:val="13"/>
        <w:numPr>
          <w:ilvl w:val="0"/>
          <w:numId w:val="1"/>
        </w:numPr>
        <w:rPr>
          <w:rFonts w:ascii="Times New Roman" w:hAnsi="Times New Roman" w:cs="Times New Roman"/>
        </w:rPr>
      </w:pPr>
      <w:r>
        <w:rPr>
          <w:rFonts w:ascii="Times New Roman" w:hAnsi="Times New Roman" w:cs="Times New Roman"/>
        </w:rPr>
        <w:t>An objective is to report if any information came to the practitioner's attention that the MD&amp;A is not reasonably presented.</w:t>
      </w:r>
    </w:p>
    <w:p>
      <w:pPr>
        <w:pStyle w:val="13"/>
        <w:numPr>
          <w:ilvl w:val="0"/>
          <w:numId w:val="1"/>
        </w:numPr>
        <w:rPr>
          <w:rFonts w:ascii="Times New Roman" w:hAnsi="Times New Roman" w:cs="Times New Roman"/>
        </w:rPr>
      </w:pPr>
      <w:r>
        <w:rPr>
          <w:rFonts w:ascii="Times New Roman" w:hAnsi="Times New Roman" w:cs="Times New Roman"/>
        </w:rPr>
        <w:t>The practitioner makes inquires of individuals responsible for financial matters.</w:t>
      </w:r>
    </w:p>
    <w:p>
      <w:pPr>
        <w:rPr>
          <w:sz w:val="22"/>
          <w:szCs w:val="22"/>
        </w:rPr>
      </w:pPr>
    </w:p>
    <w:p>
      <w:pPr>
        <w:rPr>
          <w:sz w:val="22"/>
          <w:szCs w:val="22"/>
        </w:rPr>
      </w:pPr>
    </w:p>
    <w:p>
      <w:pPr>
        <w:rPr>
          <w:sz w:val="22"/>
          <w:szCs w:val="22"/>
        </w:rPr>
      </w:pPr>
    </w:p>
    <w:p>
      <w:pPr>
        <w:rPr>
          <w:sz w:val="22"/>
          <w:szCs w:val="22"/>
        </w:rPr>
      </w:pPr>
      <w:r>
        <w:rPr>
          <w:sz w:val="22"/>
          <w:szCs w:val="22"/>
        </w:rPr>
        <w:t>2.</w:t>
      </w:r>
      <w:r>
        <w:rPr>
          <w:sz w:val="22"/>
          <w:szCs w:val="22"/>
        </w:rPr>
        <w:tab/>
      </w:r>
    </w:p>
    <w:p>
      <w:pPr>
        <w:rPr>
          <w:sz w:val="22"/>
          <w:szCs w:val="22"/>
        </w:rPr>
      </w:pPr>
      <w:r>
        <w:rPr>
          <w:sz w:val="22"/>
          <w:szCs w:val="22"/>
        </w:rPr>
        <w:t>Banister, a CPA, is approached by Wagner, a client. Wagner requests that Banister return the records provided to Banister by Wagner during an audit. Wagner still owes Banister the fees associated with the audit According to the AICPA Code of Professional Conduct, what should Banister do?</w:t>
      </w:r>
    </w:p>
    <w:p>
      <w:pPr>
        <w:pStyle w:val="13"/>
        <w:numPr>
          <w:ilvl w:val="0"/>
          <w:numId w:val="2"/>
        </w:numPr>
        <w:rPr>
          <w:rFonts w:ascii="Times New Roman" w:hAnsi="Times New Roman" w:cs="Times New Roman"/>
        </w:rPr>
      </w:pPr>
      <w:r>
        <w:rPr>
          <w:rFonts w:ascii="Times New Roman" w:hAnsi="Times New Roman" w:cs="Times New Roman"/>
        </w:rPr>
        <w:t>Banister should return the records to Wagner.</w:t>
      </w:r>
    </w:p>
    <w:p>
      <w:pPr>
        <w:pStyle w:val="13"/>
        <w:numPr>
          <w:ilvl w:val="0"/>
          <w:numId w:val="2"/>
        </w:numPr>
        <w:rPr>
          <w:rFonts w:ascii="Times New Roman" w:hAnsi="Times New Roman" w:cs="Times New Roman"/>
        </w:rPr>
      </w:pPr>
      <w:r>
        <w:rPr>
          <w:rFonts w:ascii="Times New Roman" w:hAnsi="Times New Roman" w:cs="Times New Roman"/>
        </w:rPr>
        <w:t>Banister should return the records to Wagner only after the fee has been paid.</w:t>
      </w:r>
    </w:p>
    <w:p>
      <w:pPr>
        <w:pStyle w:val="13"/>
        <w:numPr>
          <w:ilvl w:val="0"/>
          <w:numId w:val="2"/>
        </w:numPr>
        <w:rPr>
          <w:rFonts w:ascii="Times New Roman" w:hAnsi="Times New Roman" w:cs="Times New Roman"/>
        </w:rPr>
      </w:pPr>
      <w:r>
        <w:rPr>
          <w:rFonts w:ascii="Times New Roman" w:hAnsi="Times New Roman" w:cs="Times New Roman"/>
        </w:rPr>
        <w:t>Banister should not return the records to Wagner because the records now belong to Banister.</w:t>
      </w:r>
    </w:p>
    <w:p>
      <w:pPr>
        <w:pStyle w:val="13"/>
        <w:numPr>
          <w:ilvl w:val="0"/>
          <w:numId w:val="2"/>
        </w:numPr>
        <w:rPr>
          <w:rFonts w:ascii="Times New Roman" w:hAnsi="Times New Roman" w:cs="Times New Roman"/>
        </w:rPr>
      </w:pPr>
      <w:r>
        <w:rPr>
          <w:rFonts w:ascii="Times New Roman" w:hAnsi="Times New Roman" w:cs="Times New Roman"/>
        </w:rPr>
        <w:t>Banister should not return the records to Wagner without a court order.</w:t>
      </w:r>
    </w:p>
    <w:p>
      <w:pPr>
        <w:rPr>
          <w:sz w:val="22"/>
          <w:szCs w:val="22"/>
        </w:rPr>
      </w:pPr>
    </w:p>
    <w:p>
      <w:pPr>
        <w:rPr>
          <w:sz w:val="22"/>
          <w:szCs w:val="22"/>
        </w:rPr>
      </w:pPr>
    </w:p>
    <w:p>
      <w:pPr>
        <w:rPr>
          <w:sz w:val="22"/>
          <w:szCs w:val="22"/>
        </w:rPr>
      </w:pPr>
      <w:r>
        <w:rPr>
          <w:sz w:val="22"/>
          <w:szCs w:val="22"/>
        </w:rPr>
        <w:t>3.</w:t>
      </w:r>
      <w:r>
        <w:rPr>
          <w:sz w:val="22"/>
          <w:szCs w:val="22"/>
        </w:rPr>
        <w:tab/>
      </w:r>
    </w:p>
    <w:p>
      <w:pPr>
        <w:rPr>
          <w:sz w:val="22"/>
          <w:szCs w:val="22"/>
        </w:rPr>
      </w:pPr>
      <w:r>
        <w:rPr>
          <w:sz w:val="22"/>
          <w:szCs w:val="22"/>
        </w:rPr>
        <w:t>An accountant's working papers for an engagement to review the financial statements of a nonpublic entity would be least likely to include which of the following forms of documentation?</w:t>
      </w:r>
    </w:p>
    <w:p>
      <w:pPr>
        <w:pStyle w:val="13"/>
        <w:numPr>
          <w:ilvl w:val="0"/>
          <w:numId w:val="3"/>
        </w:numPr>
        <w:rPr>
          <w:rFonts w:ascii="Times New Roman" w:hAnsi="Times New Roman" w:cs="Times New Roman"/>
        </w:rPr>
      </w:pPr>
      <w:r>
        <w:rPr>
          <w:rFonts w:ascii="Times New Roman" w:hAnsi="Times New Roman" w:cs="Times New Roman"/>
        </w:rPr>
        <w:t>Study and evaluation of internal control.</w:t>
      </w:r>
    </w:p>
    <w:p>
      <w:pPr>
        <w:pStyle w:val="13"/>
        <w:numPr>
          <w:ilvl w:val="0"/>
          <w:numId w:val="3"/>
        </w:numPr>
        <w:rPr>
          <w:rFonts w:ascii="Times New Roman" w:hAnsi="Times New Roman" w:cs="Times New Roman"/>
        </w:rPr>
      </w:pPr>
      <w:r>
        <w:rPr>
          <w:rFonts w:ascii="Times New Roman" w:hAnsi="Times New Roman" w:cs="Times New Roman"/>
        </w:rPr>
        <w:t>Explanation of analytical procedures performed.</w:t>
      </w:r>
    </w:p>
    <w:p>
      <w:pPr>
        <w:pStyle w:val="13"/>
        <w:numPr>
          <w:ilvl w:val="0"/>
          <w:numId w:val="3"/>
        </w:numPr>
        <w:rPr>
          <w:rFonts w:ascii="Times New Roman" w:hAnsi="Times New Roman" w:cs="Times New Roman"/>
        </w:rPr>
      </w:pPr>
      <w:r>
        <w:rPr>
          <w:rFonts w:ascii="Times New Roman" w:hAnsi="Times New Roman" w:cs="Times New Roman"/>
        </w:rPr>
        <w:t>A copy of the engagement letter.</w:t>
      </w:r>
    </w:p>
    <w:p>
      <w:pPr>
        <w:pStyle w:val="13"/>
        <w:numPr>
          <w:ilvl w:val="0"/>
          <w:numId w:val="3"/>
        </w:numPr>
        <w:rPr>
          <w:rFonts w:ascii="Times New Roman" w:hAnsi="Times New Roman" w:cs="Times New Roman"/>
        </w:rPr>
      </w:pPr>
      <w:r>
        <w:rPr>
          <w:rFonts w:ascii="Times New Roman" w:hAnsi="Times New Roman" w:cs="Times New Roman"/>
        </w:rPr>
        <w:t xml:space="preserve">Copies of representation letters from client management. </w:t>
      </w:r>
    </w:p>
    <w:p>
      <w:pPr>
        <w:rPr>
          <w:sz w:val="22"/>
          <w:szCs w:val="22"/>
        </w:rPr>
      </w:pPr>
    </w:p>
    <w:p>
      <w:pPr>
        <w:rPr>
          <w:sz w:val="22"/>
          <w:szCs w:val="22"/>
        </w:rPr>
      </w:pPr>
    </w:p>
    <w:p>
      <w:pPr>
        <w:rPr>
          <w:sz w:val="22"/>
          <w:szCs w:val="22"/>
        </w:rPr>
      </w:pPr>
      <w:r>
        <w:rPr>
          <w:sz w:val="22"/>
          <w:szCs w:val="22"/>
        </w:rPr>
        <w:t xml:space="preserve">4. </w:t>
      </w:r>
    </w:p>
    <w:p>
      <w:pPr>
        <w:rPr>
          <w:sz w:val="22"/>
          <w:szCs w:val="22"/>
        </w:rPr>
      </w:pPr>
      <w:r>
        <w:rPr>
          <w:sz w:val="22"/>
          <w:szCs w:val="22"/>
        </w:rPr>
        <w:t>If differences of opinion arise between the engagement partner and the engagement quality control reviewer, then the engagement partner should:</w:t>
      </w:r>
    </w:p>
    <w:p>
      <w:pPr>
        <w:pStyle w:val="13"/>
        <w:numPr>
          <w:ilvl w:val="0"/>
          <w:numId w:val="4"/>
        </w:numPr>
        <w:rPr>
          <w:rFonts w:ascii="Times New Roman" w:hAnsi="Times New Roman" w:cs="Times New Roman"/>
        </w:rPr>
      </w:pPr>
      <w:r>
        <w:rPr>
          <w:rFonts w:ascii="Times New Roman" w:hAnsi="Times New Roman" w:cs="Times New Roman"/>
        </w:rPr>
        <w:t>Follow the firm's policies and procedures for resolving differences of opinion.</w:t>
      </w:r>
    </w:p>
    <w:p>
      <w:pPr>
        <w:pStyle w:val="13"/>
        <w:numPr>
          <w:ilvl w:val="0"/>
          <w:numId w:val="4"/>
        </w:numPr>
        <w:rPr>
          <w:rFonts w:ascii="Times New Roman" w:hAnsi="Times New Roman" w:cs="Times New Roman"/>
        </w:rPr>
      </w:pPr>
      <w:r>
        <w:rPr>
          <w:rFonts w:ascii="Times New Roman" w:hAnsi="Times New Roman" w:cs="Times New Roman"/>
        </w:rPr>
        <w:t>Issue a disclaimer of opinion and report the issue to the entity's audit committee.</w:t>
      </w:r>
    </w:p>
    <w:p>
      <w:pPr>
        <w:pStyle w:val="13"/>
        <w:numPr>
          <w:ilvl w:val="0"/>
          <w:numId w:val="4"/>
        </w:numPr>
        <w:rPr>
          <w:rFonts w:ascii="Times New Roman" w:hAnsi="Times New Roman" w:cs="Times New Roman"/>
        </w:rPr>
      </w:pPr>
      <w:r>
        <w:rPr>
          <w:rFonts w:ascii="Times New Roman" w:hAnsi="Times New Roman" w:cs="Times New Roman"/>
        </w:rPr>
        <w:t>Discuss the differences of opinion with the entity's management and issue a modified auditor's report.</w:t>
      </w:r>
    </w:p>
    <w:p>
      <w:pPr>
        <w:pStyle w:val="13"/>
        <w:numPr>
          <w:ilvl w:val="0"/>
          <w:numId w:val="4"/>
        </w:numPr>
        <w:rPr>
          <w:rFonts w:ascii="Times New Roman" w:hAnsi="Times New Roman" w:cs="Times New Roman"/>
        </w:rPr>
      </w:pPr>
      <w:r>
        <w:rPr>
          <w:rFonts w:ascii="Times New Roman" w:hAnsi="Times New Roman" w:cs="Times New Roman"/>
        </w:rPr>
        <w:t xml:space="preserve">Withdraw from the engagement when permissible under law or regulation. </w:t>
      </w:r>
    </w:p>
    <w:p>
      <w:pPr>
        <w:rPr>
          <w:sz w:val="22"/>
          <w:szCs w:val="22"/>
        </w:rPr>
      </w:pPr>
    </w:p>
    <w:p>
      <w:pPr>
        <w:rPr>
          <w:sz w:val="22"/>
          <w:szCs w:val="22"/>
        </w:rPr>
      </w:pPr>
    </w:p>
    <w:p>
      <w:pPr>
        <w:rPr>
          <w:sz w:val="22"/>
          <w:szCs w:val="22"/>
        </w:rPr>
      </w:pPr>
      <w:r>
        <w:rPr>
          <w:sz w:val="22"/>
          <w:szCs w:val="22"/>
        </w:rPr>
        <w:t>5.</w:t>
      </w:r>
      <w:r>
        <w:rPr>
          <w:sz w:val="22"/>
          <w:szCs w:val="22"/>
        </w:rPr>
        <w:tab/>
      </w:r>
    </w:p>
    <w:p>
      <w:pPr>
        <w:rPr>
          <w:sz w:val="22"/>
          <w:szCs w:val="22"/>
        </w:rPr>
      </w:pPr>
      <w:r>
        <w:rPr>
          <w:sz w:val="22"/>
          <w:szCs w:val="22"/>
        </w:rPr>
        <w:t>An accountant is reviewing the financial statements of a nonpublic entity in accordance with Statements on Standards for Accounting and Review Services (SSARS). The accountant most likely would perform which of the following procedures?</w:t>
      </w:r>
    </w:p>
    <w:p>
      <w:pPr>
        <w:pStyle w:val="13"/>
        <w:numPr>
          <w:ilvl w:val="0"/>
          <w:numId w:val="5"/>
        </w:numPr>
        <w:ind w:left="360"/>
        <w:rPr>
          <w:rFonts w:ascii="Times New Roman" w:hAnsi="Times New Roman" w:cs="Times New Roman"/>
        </w:rPr>
      </w:pPr>
      <w:r>
        <w:rPr>
          <w:rFonts w:ascii="Times New Roman" w:hAnsi="Times New Roman" w:cs="Times New Roman"/>
        </w:rPr>
        <w:t>Obtain an understanding of the internal control structure.</w:t>
      </w:r>
    </w:p>
    <w:p>
      <w:pPr>
        <w:pStyle w:val="13"/>
        <w:numPr>
          <w:ilvl w:val="0"/>
          <w:numId w:val="5"/>
        </w:numPr>
        <w:ind w:left="360"/>
        <w:rPr>
          <w:rFonts w:ascii="Times New Roman" w:hAnsi="Times New Roman" w:cs="Times New Roman"/>
        </w:rPr>
      </w:pPr>
      <w:r>
        <w:rPr>
          <w:rFonts w:ascii="Times New Roman" w:hAnsi="Times New Roman" w:cs="Times New Roman"/>
        </w:rPr>
        <w:t>Make inquiries about subsequent events.</w:t>
      </w:r>
    </w:p>
    <w:p>
      <w:pPr>
        <w:pStyle w:val="13"/>
        <w:numPr>
          <w:ilvl w:val="0"/>
          <w:numId w:val="5"/>
        </w:numPr>
        <w:ind w:left="360"/>
        <w:rPr>
          <w:rFonts w:ascii="Times New Roman" w:hAnsi="Times New Roman" w:cs="Times New Roman"/>
        </w:rPr>
      </w:pPr>
      <w:r>
        <w:rPr>
          <w:rFonts w:ascii="Times New Roman" w:hAnsi="Times New Roman" w:cs="Times New Roman"/>
        </w:rPr>
        <w:t>Send bank account confirmations.</w:t>
      </w:r>
    </w:p>
    <w:p>
      <w:pPr>
        <w:pStyle w:val="13"/>
        <w:numPr>
          <w:ilvl w:val="0"/>
          <w:numId w:val="5"/>
        </w:numPr>
        <w:ind w:left="360"/>
        <w:rPr>
          <w:rFonts w:ascii="Times New Roman" w:hAnsi="Times New Roman" w:cs="Times New Roman"/>
        </w:rPr>
      </w:pPr>
      <w:r>
        <w:rPr>
          <w:rFonts w:ascii="Times New Roman" w:hAnsi="Times New Roman" w:cs="Times New Roman"/>
        </w:rPr>
        <w:t>Perform limited tests of controls.</w:t>
      </w: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6.</w:t>
      </w:r>
      <w:r>
        <w:rPr>
          <w:sz w:val="22"/>
          <w:szCs w:val="22"/>
        </w:rPr>
        <w:tab/>
      </w:r>
    </w:p>
    <w:p>
      <w:pPr>
        <w:rPr>
          <w:sz w:val="22"/>
          <w:szCs w:val="22"/>
        </w:rPr>
      </w:pPr>
      <w:r>
        <w:rPr>
          <w:sz w:val="22"/>
          <w:szCs w:val="22"/>
        </w:rPr>
        <w:t>Which of the following factors would an auditor most likely consider in evaluating the control environment for an audit client?</w:t>
      </w:r>
    </w:p>
    <w:p>
      <w:pPr>
        <w:pStyle w:val="13"/>
        <w:numPr>
          <w:ilvl w:val="0"/>
          <w:numId w:val="6"/>
        </w:numPr>
        <w:rPr>
          <w:rFonts w:ascii="Times New Roman" w:hAnsi="Times New Roman" w:cs="Times New Roman"/>
        </w:rPr>
      </w:pPr>
      <w:r>
        <w:rPr>
          <w:rFonts w:ascii="Times New Roman" w:hAnsi="Times New Roman" w:cs="Times New Roman"/>
        </w:rPr>
        <w:t>Monthly bank reconciliations with supervisor sign-offs.</w:t>
      </w:r>
    </w:p>
    <w:p>
      <w:pPr>
        <w:pStyle w:val="13"/>
        <w:numPr>
          <w:ilvl w:val="0"/>
          <w:numId w:val="6"/>
        </w:numPr>
        <w:rPr>
          <w:rFonts w:ascii="Times New Roman" w:hAnsi="Times New Roman" w:cs="Times New Roman"/>
        </w:rPr>
      </w:pPr>
      <w:r>
        <w:rPr>
          <w:rFonts w:ascii="Times New Roman" w:hAnsi="Times New Roman" w:cs="Times New Roman"/>
        </w:rPr>
        <w:t>The ethical values demonstrated by management.</w:t>
      </w:r>
    </w:p>
    <w:p>
      <w:pPr>
        <w:pStyle w:val="13"/>
        <w:numPr>
          <w:ilvl w:val="0"/>
          <w:numId w:val="6"/>
        </w:numPr>
        <w:rPr>
          <w:rFonts w:ascii="Times New Roman" w:hAnsi="Times New Roman" w:cs="Times New Roman"/>
        </w:rPr>
      </w:pPr>
      <w:r>
        <w:rPr>
          <w:rFonts w:ascii="Times New Roman" w:hAnsi="Times New Roman" w:cs="Times New Roman"/>
        </w:rPr>
        <w:t>Organizational structure used for tax purposes.</w:t>
      </w:r>
    </w:p>
    <w:p>
      <w:pPr>
        <w:pStyle w:val="13"/>
        <w:numPr>
          <w:ilvl w:val="0"/>
          <w:numId w:val="6"/>
        </w:numPr>
        <w:rPr>
          <w:rFonts w:ascii="Times New Roman" w:hAnsi="Times New Roman" w:cs="Times New Roman"/>
        </w:rPr>
      </w:pPr>
      <w:r>
        <w:rPr>
          <w:rFonts w:ascii="Times New Roman" w:hAnsi="Times New Roman" w:cs="Times New Roman"/>
        </w:rPr>
        <w:t xml:space="preserve">The number of employees in each department. </w:t>
      </w:r>
    </w:p>
    <w:p>
      <w:pPr>
        <w:rPr>
          <w:sz w:val="22"/>
          <w:szCs w:val="22"/>
        </w:rPr>
      </w:pPr>
    </w:p>
    <w:p>
      <w:pPr>
        <w:rPr>
          <w:sz w:val="22"/>
          <w:szCs w:val="22"/>
        </w:rPr>
      </w:pPr>
    </w:p>
    <w:p>
      <w:pPr>
        <w:rPr>
          <w:sz w:val="22"/>
          <w:szCs w:val="22"/>
        </w:rPr>
      </w:pPr>
      <w:r>
        <w:rPr>
          <w:sz w:val="22"/>
          <w:szCs w:val="22"/>
        </w:rPr>
        <w:t xml:space="preserve">7. </w:t>
      </w:r>
    </w:p>
    <w:p>
      <w:pPr>
        <w:rPr>
          <w:sz w:val="22"/>
          <w:szCs w:val="22"/>
        </w:rPr>
      </w:pPr>
      <w:r>
        <w:rPr>
          <w:sz w:val="22"/>
          <w:szCs w:val="22"/>
        </w:rPr>
        <w:t>Which of the following factors represents an inherent limitation of internal control?</w:t>
      </w:r>
    </w:p>
    <w:p>
      <w:pPr>
        <w:pStyle w:val="13"/>
        <w:numPr>
          <w:ilvl w:val="0"/>
          <w:numId w:val="7"/>
        </w:numPr>
        <w:rPr>
          <w:rFonts w:ascii="Times New Roman" w:hAnsi="Times New Roman" w:cs="Times New Roman"/>
        </w:rPr>
      </w:pPr>
      <w:r>
        <w:rPr>
          <w:rFonts w:ascii="Times New Roman" w:hAnsi="Times New Roman" w:cs="Times New Roman"/>
        </w:rPr>
        <w:t>Absence of segregation of duties.</w:t>
      </w:r>
    </w:p>
    <w:p>
      <w:pPr>
        <w:pStyle w:val="13"/>
        <w:numPr>
          <w:ilvl w:val="0"/>
          <w:numId w:val="7"/>
        </w:numPr>
        <w:rPr>
          <w:rFonts w:ascii="Times New Roman" w:hAnsi="Times New Roman" w:cs="Times New Roman"/>
        </w:rPr>
      </w:pPr>
      <w:r>
        <w:rPr>
          <w:rFonts w:ascii="Times New Roman" w:hAnsi="Times New Roman" w:cs="Times New Roman"/>
        </w:rPr>
        <w:t>Failure to perform required tasks.</w:t>
      </w:r>
    </w:p>
    <w:p>
      <w:pPr>
        <w:pStyle w:val="13"/>
        <w:numPr>
          <w:ilvl w:val="0"/>
          <w:numId w:val="7"/>
        </w:numPr>
        <w:rPr>
          <w:rFonts w:ascii="Times New Roman" w:hAnsi="Times New Roman" w:cs="Times New Roman"/>
        </w:rPr>
      </w:pPr>
      <w:r>
        <w:rPr>
          <w:rFonts w:ascii="Times New Roman" w:hAnsi="Times New Roman" w:cs="Times New Roman"/>
        </w:rPr>
        <w:t>Mistakes resulting from human error.</w:t>
      </w:r>
    </w:p>
    <w:p>
      <w:pPr>
        <w:pStyle w:val="13"/>
        <w:numPr>
          <w:ilvl w:val="0"/>
          <w:numId w:val="7"/>
        </w:numPr>
        <w:rPr>
          <w:rFonts w:ascii="Times New Roman" w:hAnsi="Times New Roman" w:cs="Times New Roman"/>
        </w:rPr>
      </w:pPr>
      <w:r>
        <w:rPr>
          <w:rFonts w:ascii="Times New Roman" w:hAnsi="Times New Roman" w:cs="Times New Roman"/>
        </w:rPr>
        <w:t>Inadequate provisions to safeguard assets.</w:t>
      </w:r>
    </w:p>
    <w:p>
      <w:pPr>
        <w:rPr>
          <w:sz w:val="22"/>
          <w:szCs w:val="22"/>
        </w:rPr>
      </w:pPr>
    </w:p>
    <w:p>
      <w:pPr>
        <w:rPr>
          <w:sz w:val="22"/>
          <w:szCs w:val="22"/>
        </w:rPr>
      </w:pPr>
    </w:p>
    <w:p>
      <w:pPr>
        <w:rPr>
          <w:sz w:val="22"/>
          <w:szCs w:val="22"/>
        </w:rPr>
      </w:pPr>
      <w:r>
        <w:rPr>
          <w:sz w:val="22"/>
          <w:szCs w:val="22"/>
        </w:rPr>
        <w:t xml:space="preserve">8. </w:t>
      </w:r>
    </w:p>
    <w:p>
      <w:pPr>
        <w:rPr>
          <w:sz w:val="22"/>
          <w:szCs w:val="22"/>
        </w:rPr>
      </w:pPr>
      <w:r>
        <w:rPr>
          <w:sz w:val="22"/>
          <w:szCs w:val="22"/>
        </w:rPr>
        <w:t>When conducting a review engagement of a nonissuer, each of the following is considered an analytical procedure, except a comparison of the current-year's financial information to:</w:t>
      </w:r>
    </w:p>
    <w:p>
      <w:pPr>
        <w:pStyle w:val="13"/>
        <w:numPr>
          <w:ilvl w:val="0"/>
          <w:numId w:val="8"/>
        </w:numPr>
        <w:rPr>
          <w:rFonts w:ascii="Times New Roman" w:hAnsi="Times New Roman" w:cs="Times New Roman"/>
        </w:rPr>
      </w:pPr>
      <w:r>
        <w:rPr>
          <w:rFonts w:ascii="Times New Roman" w:hAnsi="Times New Roman" w:cs="Times New Roman"/>
        </w:rPr>
        <w:t>Expectations developed by the accountant.</w:t>
      </w:r>
    </w:p>
    <w:p>
      <w:pPr>
        <w:pStyle w:val="13"/>
        <w:numPr>
          <w:ilvl w:val="0"/>
          <w:numId w:val="8"/>
        </w:numPr>
        <w:rPr>
          <w:rFonts w:ascii="Times New Roman" w:hAnsi="Times New Roman" w:cs="Times New Roman"/>
        </w:rPr>
      </w:pPr>
      <w:r>
        <w:rPr>
          <w:rFonts w:ascii="Times New Roman" w:hAnsi="Times New Roman" w:cs="Times New Roman"/>
        </w:rPr>
        <w:t>Financial statements of a comparable prior period.</w:t>
      </w:r>
    </w:p>
    <w:p>
      <w:pPr>
        <w:pStyle w:val="13"/>
        <w:numPr>
          <w:ilvl w:val="0"/>
          <w:numId w:val="8"/>
        </w:numPr>
        <w:rPr>
          <w:rFonts w:ascii="Times New Roman" w:hAnsi="Times New Roman" w:cs="Times New Roman"/>
        </w:rPr>
      </w:pPr>
      <w:r>
        <w:rPr>
          <w:rFonts w:ascii="Times New Roman" w:hAnsi="Times New Roman" w:cs="Times New Roman"/>
        </w:rPr>
        <w:t>Supporting documentation.</w:t>
      </w:r>
    </w:p>
    <w:p>
      <w:pPr>
        <w:pStyle w:val="13"/>
        <w:numPr>
          <w:ilvl w:val="0"/>
          <w:numId w:val="8"/>
        </w:numPr>
        <w:rPr>
          <w:rFonts w:ascii="Times New Roman" w:hAnsi="Times New Roman" w:cs="Times New Roman"/>
        </w:rPr>
      </w:pPr>
      <w:r>
        <w:rPr>
          <w:rFonts w:ascii="Times New Roman" w:hAnsi="Times New Roman" w:cs="Times New Roman"/>
        </w:rPr>
        <w:t>Industry benchmarks.</w:t>
      </w:r>
    </w:p>
    <w:p>
      <w:pPr>
        <w:rPr>
          <w:sz w:val="22"/>
          <w:szCs w:val="22"/>
        </w:rPr>
      </w:pPr>
    </w:p>
    <w:p>
      <w:pPr>
        <w:rPr>
          <w:sz w:val="22"/>
          <w:szCs w:val="22"/>
        </w:rPr>
      </w:pPr>
    </w:p>
    <w:p>
      <w:pPr>
        <w:rPr>
          <w:sz w:val="22"/>
          <w:szCs w:val="22"/>
        </w:rPr>
      </w:pPr>
    </w:p>
    <w:p>
      <w:pPr>
        <w:rPr>
          <w:sz w:val="22"/>
          <w:szCs w:val="22"/>
        </w:rPr>
      </w:pPr>
      <w:r>
        <w:rPr>
          <w:sz w:val="22"/>
          <w:szCs w:val="22"/>
        </w:rPr>
        <w:t>9.</w:t>
      </w:r>
      <w:r>
        <w:rPr>
          <w:sz w:val="22"/>
          <w:szCs w:val="22"/>
        </w:rPr>
        <w:tab/>
      </w:r>
    </w:p>
    <w:p>
      <w:pPr>
        <w:rPr>
          <w:sz w:val="22"/>
          <w:szCs w:val="22"/>
        </w:rPr>
      </w:pPr>
      <w:r>
        <w:rPr>
          <w:sz w:val="22"/>
          <w:szCs w:val="22"/>
        </w:rPr>
        <w:t>As part of risk assessment procedures for an audit of a nonissuer, an auditor would most likely perform which of the following procedures concerning related party transactions?</w:t>
      </w:r>
    </w:p>
    <w:p>
      <w:pPr>
        <w:pStyle w:val="13"/>
        <w:numPr>
          <w:ilvl w:val="0"/>
          <w:numId w:val="9"/>
        </w:numPr>
        <w:rPr>
          <w:rFonts w:ascii="Times New Roman" w:hAnsi="Times New Roman" w:cs="Times New Roman"/>
        </w:rPr>
      </w:pPr>
      <w:r>
        <w:rPr>
          <w:rFonts w:ascii="Times New Roman" w:hAnsi="Times New Roman" w:cs="Times New Roman"/>
        </w:rPr>
        <w:t>Evaluate the entity's procedures for identifying related party transactions.</w:t>
      </w:r>
    </w:p>
    <w:p>
      <w:pPr>
        <w:pStyle w:val="13"/>
        <w:numPr>
          <w:ilvl w:val="0"/>
          <w:numId w:val="9"/>
        </w:numPr>
        <w:rPr>
          <w:rFonts w:ascii="Times New Roman" w:hAnsi="Times New Roman" w:cs="Times New Roman"/>
        </w:rPr>
      </w:pPr>
      <w:r>
        <w:rPr>
          <w:rFonts w:ascii="Times New Roman" w:hAnsi="Times New Roman" w:cs="Times New Roman"/>
        </w:rPr>
        <w:t>Confirm related party transaction amounts and terms with the other party.</w:t>
      </w:r>
    </w:p>
    <w:p>
      <w:pPr>
        <w:pStyle w:val="13"/>
        <w:numPr>
          <w:ilvl w:val="0"/>
          <w:numId w:val="9"/>
        </w:numPr>
        <w:rPr>
          <w:rFonts w:ascii="Times New Roman" w:hAnsi="Times New Roman" w:cs="Times New Roman"/>
        </w:rPr>
      </w:pPr>
      <w:r>
        <w:rPr>
          <w:rFonts w:ascii="Times New Roman" w:hAnsi="Times New Roman" w:cs="Times New Roman"/>
        </w:rPr>
        <w:t>Perform a direct test of related party account balances.</w:t>
      </w:r>
    </w:p>
    <w:p>
      <w:pPr>
        <w:pStyle w:val="13"/>
        <w:numPr>
          <w:ilvl w:val="0"/>
          <w:numId w:val="9"/>
        </w:numPr>
        <w:rPr>
          <w:rFonts w:ascii="Times New Roman" w:hAnsi="Times New Roman" w:cs="Times New Roman"/>
        </w:rPr>
      </w:pPr>
      <w:r>
        <w:rPr>
          <w:rFonts w:ascii="Times New Roman" w:hAnsi="Times New Roman" w:cs="Times New Roman"/>
        </w:rPr>
        <w:t xml:space="preserve">Examine receiving and shipping records between the client and its affiliates. </w:t>
      </w:r>
    </w:p>
    <w:p>
      <w:pPr>
        <w:rPr>
          <w:sz w:val="22"/>
          <w:szCs w:val="22"/>
        </w:rPr>
      </w:pPr>
    </w:p>
    <w:p>
      <w:pPr>
        <w:rPr>
          <w:sz w:val="22"/>
          <w:szCs w:val="22"/>
        </w:rPr>
      </w:pPr>
    </w:p>
    <w:p>
      <w:pPr>
        <w:rPr>
          <w:sz w:val="22"/>
          <w:szCs w:val="22"/>
        </w:rPr>
      </w:pPr>
    </w:p>
    <w:p>
      <w:pPr>
        <w:rPr>
          <w:sz w:val="22"/>
          <w:szCs w:val="22"/>
        </w:rPr>
      </w:pPr>
      <w:r>
        <w:rPr>
          <w:sz w:val="22"/>
          <w:szCs w:val="22"/>
        </w:rPr>
        <w:t>10.</w:t>
      </w:r>
      <w:r>
        <w:rPr>
          <w:sz w:val="22"/>
          <w:szCs w:val="22"/>
        </w:rPr>
        <w:tab/>
      </w:r>
    </w:p>
    <w:p>
      <w:pPr>
        <w:rPr>
          <w:sz w:val="22"/>
          <w:szCs w:val="22"/>
        </w:rPr>
      </w:pPr>
      <w:r>
        <w:rPr>
          <w:sz w:val="22"/>
          <w:szCs w:val="22"/>
        </w:rPr>
        <w:t>Which of the following applications of sampling to test controls is most appropriate?</w:t>
      </w:r>
    </w:p>
    <w:p>
      <w:pPr>
        <w:pStyle w:val="13"/>
        <w:numPr>
          <w:ilvl w:val="0"/>
          <w:numId w:val="10"/>
        </w:numPr>
        <w:rPr>
          <w:rFonts w:ascii="Times New Roman" w:hAnsi="Times New Roman" w:cs="Times New Roman"/>
        </w:rPr>
      </w:pPr>
      <w:r>
        <w:rPr>
          <w:rFonts w:ascii="Times New Roman" w:hAnsi="Times New Roman" w:cs="Times New Roman"/>
        </w:rPr>
        <w:t>Testing a sample of customer orders for evidence of credit approval.</w:t>
      </w:r>
    </w:p>
    <w:p>
      <w:pPr>
        <w:pStyle w:val="13"/>
        <w:numPr>
          <w:ilvl w:val="0"/>
          <w:numId w:val="10"/>
        </w:numPr>
        <w:rPr>
          <w:rFonts w:ascii="Times New Roman" w:hAnsi="Times New Roman" w:cs="Times New Roman"/>
        </w:rPr>
      </w:pPr>
      <w:r>
        <w:rPr>
          <w:rFonts w:ascii="Times New Roman" w:hAnsi="Times New Roman" w:cs="Times New Roman"/>
        </w:rPr>
        <w:t>Testing a sample of controls to determine segregation of duties between inventory control and sales processing duties.</w:t>
      </w:r>
    </w:p>
    <w:p>
      <w:pPr>
        <w:pStyle w:val="13"/>
        <w:numPr>
          <w:ilvl w:val="0"/>
          <w:numId w:val="10"/>
        </w:numPr>
        <w:rPr>
          <w:rFonts w:ascii="Times New Roman" w:hAnsi="Times New Roman" w:cs="Times New Roman"/>
        </w:rPr>
      </w:pPr>
      <w:r>
        <w:rPr>
          <w:rFonts w:ascii="Times New Roman" w:hAnsi="Times New Roman" w:cs="Times New Roman"/>
        </w:rPr>
        <w:t>Testing a sample of accounts receivable confirmations.</w:t>
      </w:r>
    </w:p>
    <w:p>
      <w:pPr>
        <w:pStyle w:val="13"/>
        <w:numPr>
          <w:ilvl w:val="0"/>
          <w:numId w:val="10"/>
        </w:numPr>
        <w:rPr>
          <w:rFonts w:ascii="Times New Roman" w:hAnsi="Times New Roman" w:cs="Times New Roman"/>
        </w:rPr>
      </w:pPr>
      <w:r>
        <w:rPr>
          <w:rFonts w:ascii="Times New Roman" w:hAnsi="Times New Roman" w:cs="Times New Roman"/>
        </w:rPr>
        <w:t>Testing a sample of the budget center directors' allocation of annual budget to sales units.</w:t>
      </w: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11.</w:t>
      </w:r>
      <w:r>
        <w:rPr>
          <w:sz w:val="22"/>
          <w:szCs w:val="22"/>
        </w:rPr>
        <w:tab/>
      </w:r>
    </w:p>
    <w:p>
      <w:pPr>
        <w:rPr>
          <w:sz w:val="22"/>
          <w:szCs w:val="22"/>
        </w:rPr>
      </w:pPr>
      <w:r>
        <w:rPr>
          <w:sz w:val="22"/>
          <w:szCs w:val="22"/>
        </w:rPr>
        <w:t>When evaluating the impact of potential litigation, an auditor of a nonissuer should obtain audit evidence about each of the following, except:</w:t>
      </w:r>
    </w:p>
    <w:p>
      <w:pPr>
        <w:pStyle w:val="13"/>
        <w:numPr>
          <w:ilvl w:val="0"/>
          <w:numId w:val="11"/>
        </w:numPr>
        <w:rPr>
          <w:rFonts w:ascii="Times New Roman" w:hAnsi="Times New Roman" w:cs="Times New Roman"/>
        </w:rPr>
      </w:pPr>
      <w:r>
        <w:rPr>
          <w:rFonts w:ascii="Times New Roman" w:hAnsi="Times New Roman" w:cs="Times New Roman"/>
        </w:rPr>
        <w:t>The period in which the underlying cause for legal action occurred.</w:t>
      </w:r>
    </w:p>
    <w:p>
      <w:pPr>
        <w:pStyle w:val="13"/>
        <w:numPr>
          <w:ilvl w:val="0"/>
          <w:numId w:val="11"/>
        </w:numPr>
        <w:rPr>
          <w:rFonts w:ascii="Times New Roman" w:hAnsi="Times New Roman" w:cs="Times New Roman"/>
        </w:rPr>
      </w:pPr>
      <w:r>
        <w:rPr>
          <w:rFonts w:ascii="Times New Roman" w:hAnsi="Times New Roman" w:cs="Times New Roman"/>
        </w:rPr>
        <w:t>The probability of an unfavorable outcome.</w:t>
      </w:r>
    </w:p>
    <w:p>
      <w:pPr>
        <w:pStyle w:val="13"/>
        <w:numPr>
          <w:ilvl w:val="0"/>
          <w:numId w:val="11"/>
        </w:numPr>
        <w:rPr>
          <w:rFonts w:ascii="Times New Roman" w:hAnsi="Times New Roman" w:cs="Times New Roman"/>
        </w:rPr>
      </w:pPr>
      <w:r>
        <w:rPr>
          <w:rFonts w:ascii="Times New Roman" w:hAnsi="Times New Roman" w:cs="Times New Roman"/>
        </w:rPr>
        <w:t>The probability that the matter will require a trial in court.</w:t>
      </w:r>
    </w:p>
    <w:p>
      <w:pPr>
        <w:pStyle w:val="13"/>
        <w:numPr>
          <w:ilvl w:val="0"/>
          <w:numId w:val="11"/>
        </w:numPr>
        <w:rPr>
          <w:rFonts w:ascii="Times New Roman" w:hAnsi="Times New Roman" w:cs="Times New Roman"/>
        </w:rPr>
      </w:pPr>
      <w:r>
        <w:rPr>
          <w:rFonts w:ascii="Times New Roman" w:hAnsi="Times New Roman" w:cs="Times New Roman"/>
        </w:rPr>
        <w:t>The amount or range of potential loss.</w:t>
      </w:r>
    </w:p>
    <w:p>
      <w:pPr>
        <w:rPr>
          <w:sz w:val="22"/>
          <w:szCs w:val="22"/>
        </w:rPr>
      </w:pPr>
    </w:p>
    <w:p>
      <w:pPr>
        <w:rPr>
          <w:sz w:val="22"/>
          <w:szCs w:val="22"/>
        </w:rPr>
      </w:pPr>
    </w:p>
    <w:p>
      <w:pPr>
        <w:rPr>
          <w:sz w:val="22"/>
          <w:szCs w:val="22"/>
        </w:rPr>
      </w:pPr>
      <w:r>
        <w:rPr>
          <w:sz w:val="22"/>
          <w:szCs w:val="22"/>
        </w:rPr>
        <w:t>12.</w:t>
      </w:r>
      <w:r>
        <w:rPr>
          <w:sz w:val="22"/>
          <w:szCs w:val="22"/>
        </w:rPr>
        <w:tab/>
      </w:r>
    </w:p>
    <w:p>
      <w:pPr>
        <w:rPr>
          <w:sz w:val="22"/>
          <w:szCs w:val="22"/>
        </w:rPr>
      </w:pPr>
      <w:r>
        <w:rPr>
          <w:sz w:val="22"/>
          <w:szCs w:val="22"/>
        </w:rPr>
        <w:t>If a subsequent event occurs after the report date but prior to the release date of an audit report, resulting in management's revision of the financial statements of a nonissuer, then the auditor may do any of the following, except:</w:t>
      </w:r>
    </w:p>
    <w:p>
      <w:pPr>
        <w:pStyle w:val="13"/>
        <w:numPr>
          <w:ilvl w:val="0"/>
          <w:numId w:val="12"/>
        </w:numPr>
        <w:rPr>
          <w:rFonts w:ascii="Times New Roman" w:hAnsi="Times New Roman" w:cs="Times New Roman"/>
        </w:rPr>
      </w:pPr>
      <w:r>
        <w:rPr>
          <w:rFonts w:ascii="Times New Roman" w:hAnsi="Times New Roman" w:cs="Times New Roman"/>
        </w:rPr>
        <w:t>Maintain the original date of the report and state that the opinion is limited to the financial statements as they existed prior to the subsequent event.</w:t>
      </w:r>
    </w:p>
    <w:p>
      <w:pPr>
        <w:pStyle w:val="13"/>
        <w:numPr>
          <w:ilvl w:val="0"/>
          <w:numId w:val="12"/>
        </w:numPr>
        <w:rPr>
          <w:rFonts w:ascii="Times New Roman" w:hAnsi="Times New Roman" w:cs="Times New Roman"/>
        </w:rPr>
      </w:pPr>
      <w:r>
        <w:rPr>
          <w:rFonts w:ascii="Times New Roman" w:hAnsi="Times New Roman" w:cs="Times New Roman"/>
        </w:rPr>
        <w:t>Perform audit procedures necessary to obtain assurance about the revised financial statements.</w:t>
      </w:r>
    </w:p>
    <w:p>
      <w:pPr>
        <w:pStyle w:val="13"/>
        <w:numPr>
          <w:ilvl w:val="0"/>
          <w:numId w:val="12"/>
        </w:numPr>
        <w:rPr>
          <w:rFonts w:ascii="Times New Roman" w:hAnsi="Times New Roman" w:cs="Times New Roman"/>
        </w:rPr>
      </w:pPr>
      <w:r>
        <w:rPr>
          <w:rFonts w:ascii="Times New Roman" w:hAnsi="Times New Roman" w:cs="Times New Roman"/>
        </w:rPr>
        <w:t>Include an additional date in the audit report that is limited to the revision to the financial statements.</w:t>
      </w:r>
    </w:p>
    <w:p>
      <w:pPr>
        <w:pStyle w:val="13"/>
        <w:numPr>
          <w:ilvl w:val="0"/>
          <w:numId w:val="12"/>
        </w:numPr>
        <w:rPr>
          <w:rFonts w:ascii="Times New Roman" w:hAnsi="Times New Roman" w:cs="Times New Roman"/>
        </w:rPr>
      </w:pPr>
      <w:r>
        <w:rPr>
          <w:rFonts w:ascii="Times New Roman" w:hAnsi="Times New Roman" w:cs="Times New Roman"/>
        </w:rPr>
        <w:t>Revise the date of the audit report to reflect the necessity of additional audit procedures.</w:t>
      </w:r>
    </w:p>
    <w:p>
      <w:pPr>
        <w:rPr>
          <w:sz w:val="22"/>
          <w:szCs w:val="22"/>
        </w:rPr>
      </w:pPr>
    </w:p>
    <w:p>
      <w:pPr>
        <w:rPr>
          <w:sz w:val="22"/>
          <w:szCs w:val="22"/>
        </w:rPr>
      </w:pPr>
    </w:p>
    <w:p>
      <w:pPr>
        <w:rPr>
          <w:sz w:val="22"/>
          <w:szCs w:val="22"/>
        </w:rPr>
      </w:pPr>
      <w:r>
        <w:rPr>
          <w:sz w:val="22"/>
          <w:szCs w:val="22"/>
        </w:rPr>
        <w:t>13.</w:t>
      </w:r>
      <w:r>
        <w:rPr>
          <w:sz w:val="22"/>
          <w:szCs w:val="22"/>
        </w:rPr>
        <w:tab/>
      </w:r>
    </w:p>
    <w:p>
      <w:pPr>
        <w:rPr>
          <w:sz w:val="22"/>
          <w:szCs w:val="22"/>
        </w:rPr>
      </w:pPr>
      <w:r>
        <w:rPr>
          <w:sz w:val="22"/>
          <w:szCs w:val="22"/>
        </w:rPr>
        <w:t>A client holds a debt security that is actively traded in the market. Which of the following indicators would be the preferable guide to the security's fair market value?</w:t>
      </w:r>
    </w:p>
    <w:p>
      <w:pPr>
        <w:pStyle w:val="13"/>
        <w:numPr>
          <w:ilvl w:val="0"/>
          <w:numId w:val="13"/>
        </w:numPr>
        <w:rPr>
          <w:rFonts w:ascii="Times New Roman" w:hAnsi="Times New Roman" w:cs="Times New Roman"/>
        </w:rPr>
      </w:pPr>
      <w:r>
        <w:rPr>
          <w:rFonts w:ascii="Times New Roman" w:hAnsi="Times New Roman" w:cs="Times New Roman"/>
        </w:rPr>
        <w:t>Published price quotations in the market.</w:t>
      </w:r>
    </w:p>
    <w:p>
      <w:pPr>
        <w:pStyle w:val="13"/>
        <w:numPr>
          <w:ilvl w:val="0"/>
          <w:numId w:val="13"/>
        </w:numPr>
        <w:rPr>
          <w:rFonts w:ascii="Times New Roman" w:hAnsi="Times New Roman" w:cs="Times New Roman"/>
        </w:rPr>
      </w:pPr>
      <w:r>
        <w:rPr>
          <w:rFonts w:ascii="Times New Roman" w:hAnsi="Times New Roman" w:cs="Times New Roman"/>
        </w:rPr>
        <w:t>The price at which the debt security was purchased.</w:t>
      </w:r>
    </w:p>
    <w:p>
      <w:pPr>
        <w:pStyle w:val="13"/>
        <w:numPr>
          <w:ilvl w:val="0"/>
          <w:numId w:val="13"/>
        </w:numPr>
        <w:rPr>
          <w:rFonts w:ascii="Times New Roman" w:hAnsi="Times New Roman" w:cs="Times New Roman"/>
        </w:rPr>
      </w:pPr>
      <w:r>
        <w:rPr>
          <w:rFonts w:ascii="Times New Roman" w:hAnsi="Times New Roman" w:cs="Times New Roman"/>
        </w:rPr>
        <w:t>The cash flow model using discounted future cash flows.</w:t>
      </w:r>
    </w:p>
    <w:p>
      <w:pPr>
        <w:pStyle w:val="13"/>
        <w:numPr>
          <w:ilvl w:val="0"/>
          <w:numId w:val="13"/>
        </w:numPr>
        <w:rPr>
          <w:rFonts w:ascii="Times New Roman" w:hAnsi="Times New Roman" w:cs="Times New Roman"/>
        </w:rPr>
      </w:pPr>
      <w:r>
        <w:rPr>
          <w:rFonts w:ascii="Times New Roman" w:hAnsi="Times New Roman" w:cs="Times New Roman"/>
        </w:rPr>
        <w:t>Matrix pricing, in which published price quotations of similar debt securities are used to compute the fair market value.</w:t>
      </w:r>
    </w:p>
    <w:p>
      <w:pPr>
        <w:rPr>
          <w:sz w:val="22"/>
          <w:szCs w:val="22"/>
        </w:rPr>
      </w:pPr>
    </w:p>
    <w:p>
      <w:pPr>
        <w:rPr>
          <w:sz w:val="22"/>
          <w:szCs w:val="22"/>
        </w:rPr>
      </w:pPr>
    </w:p>
    <w:p>
      <w:pPr>
        <w:rPr>
          <w:sz w:val="22"/>
          <w:szCs w:val="22"/>
        </w:rPr>
      </w:pPr>
      <w:r>
        <w:rPr>
          <w:sz w:val="22"/>
          <w:szCs w:val="22"/>
        </w:rPr>
        <w:t>14.</w:t>
      </w:r>
      <w:r>
        <w:rPr>
          <w:sz w:val="22"/>
          <w:szCs w:val="22"/>
        </w:rPr>
        <w:tab/>
      </w:r>
    </w:p>
    <w:p>
      <w:pPr>
        <w:rPr>
          <w:sz w:val="22"/>
          <w:szCs w:val="22"/>
        </w:rPr>
      </w:pPr>
      <w:r>
        <w:rPr>
          <w:sz w:val="22"/>
          <w:szCs w:val="22"/>
        </w:rPr>
        <w:t>Which of the following most likely would be considered a mitigating condition concerning an entity's ability to continue as a going concern?</w:t>
      </w:r>
    </w:p>
    <w:p>
      <w:pPr>
        <w:pStyle w:val="13"/>
        <w:numPr>
          <w:ilvl w:val="0"/>
          <w:numId w:val="14"/>
        </w:numPr>
        <w:rPr>
          <w:rFonts w:ascii="Times New Roman" w:hAnsi="Times New Roman" w:cs="Times New Roman"/>
        </w:rPr>
      </w:pPr>
      <w:r>
        <w:rPr>
          <w:rFonts w:ascii="Times New Roman" w:hAnsi="Times New Roman" w:cs="Times New Roman"/>
        </w:rPr>
        <w:t>Plans to increase ownership equity.</w:t>
      </w:r>
    </w:p>
    <w:p>
      <w:pPr>
        <w:pStyle w:val="13"/>
        <w:numPr>
          <w:ilvl w:val="0"/>
          <w:numId w:val="14"/>
        </w:numPr>
        <w:rPr>
          <w:rFonts w:ascii="Times New Roman" w:hAnsi="Times New Roman" w:cs="Times New Roman"/>
        </w:rPr>
      </w:pPr>
      <w:r>
        <w:rPr>
          <w:rFonts w:ascii="Times New Roman" w:hAnsi="Times New Roman" w:cs="Times New Roman"/>
        </w:rPr>
        <w:t>Recent strong showing of the stock market.</w:t>
      </w:r>
    </w:p>
    <w:p>
      <w:pPr>
        <w:pStyle w:val="13"/>
        <w:numPr>
          <w:ilvl w:val="0"/>
          <w:numId w:val="14"/>
        </w:numPr>
        <w:rPr>
          <w:rFonts w:ascii="Times New Roman" w:hAnsi="Times New Roman" w:cs="Times New Roman"/>
        </w:rPr>
      </w:pPr>
      <w:r>
        <w:rPr>
          <w:rFonts w:ascii="Times New Roman" w:hAnsi="Times New Roman" w:cs="Times New Roman"/>
        </w:rPr>
        <w:t>Positive comments about the company from industry analysts.</w:t>
      </w:r>
    </w:p>
    <w:p>
      <w:pPr>
        <w:pStyle w:val="13"/>
        <w:numPr>
          <w:ilvl w:val="0"/>
          <w:numId w:val="14"/>
        </w:numPr>
        <w:rPr>
          <w:rFonts w:ascii="Times New Roman" w:hAnsi="Times New Roman" w:cs="Times New Roman"/>
        </w:rPr>
      </w:pPr>
      <w:r>
        <w:rPr>
          <w:rFonts w:ascii="Times New Roman" w:hAnsi="Times New Roman" w:cs="Times New Roman"/>
        </w:rPr>
        <w:t>A decreasing unemployment rate in the entity's industry.</w:t>
      </w:r>
    </w:p>
    <w:p>
      <w:pPr>
        <w:rPr>
          <w:sz w:val="22"/>
          <w:szCs w:val="22"/>
        </w:rPr>
      </w:pPr>
    </w:p>
    <w:p>
      <w:pPr>
        <w:rPr>
          <w:sz w:val="22"/>
          <w:szCs w:val="22"/>
        </w:rPr>
      </w:pPr>
      <w:r>
        <w:rPr>
          <w:sz w:val="22"/>
          <w:szCs w:val="22"/>
        </w:rPr>
        <w:t xml:space="preserve">15. </w:t>
      </w:r>
    </w:p>
    <w:p>
      <w:pPr>
        <w:rPr>
          <w:sz w:val="22"/>
          <w:szCs w:val="22"/>
        </w:rPr>
      </w:pPr>
      <w:r>
        <w:rPr>
          <w:sz w:val="22"/>
          <w:szCs w:val="22"/>
        </w:rPr>
        <w:t>Whose signatures should be included in the management representation letter to the auditor?</w:t>
      </w:r>
    </w:p>
    <w:p>
      <w:pPr>
        <w:pStyle w:val="13"/>
        <w:numPr>
          <w:ilvl w:val="0"/>
          <w:numId w:val="15"/>
        </w:numPr>
        <w:rPr>
          <w:rFonts w:ascii="Times New Roman" w:hAnsi="Times New Roman" w:cs="Times New Roman"/>
        </w:rPr>
      </w:pPr>
      <w:r>
        <w:rPr>
          <w:rFonts w:ascii="Times New Roman" w:hAnsi="Times New Roman" w:cs="Times New Roman"/>
        </w:rPr>
        <w:t>President and chief financial officer</w:t>
      </w:r>
    </w:p>
    <w:p>
      <w:pPr>
        <w:pStyle w:val="13"/>
        <w:numPr>
          <w:ilvl w:val="0"/>
          <w:numId w:val="15"/>
        </w:numPr>
        <w:rPr>
          <w:rFonts w:ascii="Times New Roman" w:hAnsi="Times New Roman" w:cs="Times New Roman"/>
        </w:rPr>
      </w:pPr>
      <w:r>
        <w:rPr>
          <w:rFonts w:ascii="Times New Roman" w:hAnsi="Times New Roman" w:cs="Times New Roman"/>
        </w:rPr>
        <w:t>Chairman of the audit committee and chief operating officer</w:t>
      </w:r>
    </w:p>
    <w:p>
      <w:pPr>
        <w:pStyle w:val="13"/>
        <w:numPr>
          <w:ilvl w:val="0"/>
          <w:numId w:val="15"/>
        </w:numPr>
        <w:rPr>
          <w:rFonts w:ascii="Times New Roman" w:hAnsi="Times New Roman" w:cs="Times New Roman"/>
        </w:rPr>
      </w:pPr>
      <w:r>
        <w:rPr>
          <w:rFonts w:ascii="Times New Roman" w:hAnsi="Times New Roman" w:cs="Times New Roman"/>
        </w:rPr>
        <w:t>Corporate secretary and treasurer</w:t>
      </w:r>
    </w:p>
    <w:p>
      <w:pPr>
        <w:pStyle w:val="13"/>
        <w:numPr>
          <w:ilvl w:val="0"/>
          <w:numId w:val="15"/>
        </w:numPr>
        <w:rPr>
          <w:rFonts w:ascii="Times New Roman" w:hAnsi="Times New Roman" w:cs="Times New Roman"/>
        </w:rPr>
      </w:pPr>
      <w:r>
        <w:rPr>
          <w:rFonts w:ascii="Times New Roman" w:hAnsi="Times New Roman" w:cs="Times New Roman"/>
        </w:rPr>
        <w:t xml:space="preserve">Chief information officer and chief operating officer </w:t>
      </w:r>
    </w:p>
    <w:p>
      <w:pPr>
        <w:rPr>
          <w:sz w:val="22"/>
          <w:szCs w:val="22"/>
        </w:rPr>
      </w:pPr>
    </w:p>
    <w:p>
      <w:pPr>
        <w:rPr>
          <w:rFonts w:hint="eastAsia" w:eastAsiaTheme="minorEastAsia"/>
          <w:sz w:val="22"/>
          <w:szCs w:val="22"/>
          <w:lang w:eastAsia="zh-CN"/>
        </w:rPr>
      </w:pPr>
      <w:r>
        <w:rPr>
          <w:rFonts w:hint="eastAsia" w:eastAsiaTheme="minorEastAsia"/>
          <w:sz w:val="22"/>
          <w:szCs w:val="22"/>
          <w:lang w:eastAsia="zh-CN"/>
        </w:rPr>
        <w:drawing>
          <wp:inline distT="0" distB="0" distL="114300" distR="114300">
            <wp:extent cx="5941060" cy="5941060"/>
            <wp:effectExtent l="0" t="0" r="2540" b="2540"/>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4"/>
                    <a:stretch>
                      <a:fillRect/>
                    </a:stretch>
                  </pic:blipFill>
                  <pic:spPr>
                    <a:xfrm>
                      <a:off x="0" y="0"/>
                      <a:ext cx="5941060" cy="5941060"/>
                    </a:xfrm>
                    <a:prstGeom prst="rect">
                      <a:avLst/>
                    </a:prstGeom>
                  </pic:spPr>
                </pic:pic>
              </a:graphicData>
            </a:graphic>
          </wp:inline>
        </w:drawing>
      </w:r>
      <w:bookmarkStart w:id="0" w:name="_GoBack"/>
      <w:bookmarkEnd w:id="0"/>
    </w:p>
    <w:p>
      <w:pPr>
        <w:rPr>
          <w:sz w:val="22"/>
          <w:szCs w:val="22"/>
        </w:rPr>
      </w:pPr>
    </w:p>
    <w:sectPr>
      <w:pgSz w:w="12240" w:h="15840"/>
      <w:pgMar w:top="1440" w:right="1440" w:bottom="1440" w:left="1440" w:header="720" w:footer="720" w:gutter="0"/>
      <w:cols w:space="720" w:num="1"/>
      <w:docGrid w:linePitch="4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19F" w:csb1="00000000"/>
  </w:font>
  <w:font w:name="Arial Unicode MS">
    <w:altName w:val="Arial"/>
    <w:panose1 w:val="020B0604020202020204"/>
    <w:charset w:val="00"/>
    <w:family w:val="auto"/>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080649"/>
    <w:multiLevelType w:val="multilevel"/>
    <w:tmpl w:val="03080649"/>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
    <w:nsid w:val="060470FF"/>
    <w:multiLevelType w:val="multilevel"/>
    <w:tmpl w:val="060470FF"/>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08DF7C1B"/>
    <w:multiLevelType w:val="multilevel"/>
    <w:tmpl w:val="08DF7C1B"/>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
    <w:nsid w:val="0D244FCA"/>
    <w:multiLevelType w:val="multilevel"/>
    <w:tmpl w:val="0D244FCA"/>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
    <w:nsid w:val="1B7D2F14"/>
    <w:multiLevelType w:val="multilevel"/>
    <w:tmpl w:val="1B7D2F14"/>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5">
    <w:nsid w:val="295900FA"/>
    <w:multiLevelType w:val="multilevel"/>
    <w:tmpl w:val="295900FA"/>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31623DA6"/>
    <w:multiLevelType w:val="multilevel"/>
    <w:tmpl w:val="31623DA6"/>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7">
    <w:nsid w:val="318E55E6"/>
    <w:multiLevelType w:val="multilevel"/>
    <w:tmpl w:val="318E55E6"/>
    <w:lvl w:ilvl="0" w:tentative="0">
      <w:start w:val="1"/>
      <w:numFmt w:val="upp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34E31504"/>
    <w:multiLevelType w:val="multilevel"/>
    <w:tmpl w:val="34E31504"/>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9">
    <w:nsid w:val="3E422A05"/>
    <w:multiLevelType w:val="multilevel"/>
    <w:tmpl w:val="3E422A05"/>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0">
    <w:nsid w:val="42707413"/>
    <w:multiLevelType w:val="multilevel"/>
    <w:tmpl w:val="42707413"/>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1">
    <w:nsid w:val="5DED23A7"/>
    <w:multiLevelType w:val="multilevel"/>
    <w:tmpl w:val="5DED23A7"/>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2">
    <w:nsid w:val="6F6970F4"/>
    <w:multiLevelType w:val="multilevel"/>
    <w:tmpl w:val="6F6970F4"/>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3">
    <w:nsid w:val="79285416"/>
    <w:multiLevelType w:val="multilevel"/>
    <w:tmpl w:val="79285416"/>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4">
    <w:nsid w:val="7F41258A"/>
    <w:multiLevelType w:val="multilevel"/>
    <w:tmpl w:val="7F41258A"/>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4"/>
  </w:num>
  <w:num w:numId="2">
    <w:abstractNumId w:val="9"/>
  </w:num>
  <w:num w:numId="3">
    <w:abstractNumId w:val="8"/>
  </w:num>
  <w:num w:numId="4">
    <w:abstractNumId w:val="14"/>
  </w:num>
  <w:num w:numId="5">
    <w:abstractNumId w:val="7"/>
  </w:num>
  <w:num w:numId="6">
    <w:abstractNumId w:val="12"/>
  </w:num>
  <w:num w:numId="7">
    <w:abstractNumId w:val="0"/>
  </w:num>
  <w:num w:numId="8">
    <w:abstractNumId w:val="2"/>
  </w:num>
  <w:num w:numId="9">
    <w:abstractNumId w:val="10"/>
  </w:num>
  <w:num w:numId="10">
    <w:abstractNumId w:val="11"/>
  </w:num>
  <w:num w:numId="11">
    <w:abstractNumId w:val="6"/>
  </w:num>
  <w:num w:numId="12">
    <w:abstractNumId w:val="13"/>
  </w:num>
  <w:num w:numId="13">
    <w:abstractNumId w:val="3"/>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xNzA3MzIwNzliMmZlMmJkYzc1ZWY4OTMxYTg1ZTgifQ=="/>
  </w:docVars>
  <w:rsids>
    <w:rsidRoot w:val="0080615A"/>
    <w:rsid w:val="00016DEB"/>
    <w:rsid w:val="0001798B"/>
    <w:rsid w:val="00020273"/>
    <w:rsid w:val="00053FE3"/>
    <w:rsid w:val="000640CA"/>
    <w:rsid w:val="000700DE"/>
    <w:rsid w:val="00076420"/>
    <w:rsid w:val="00096CEF"/>
    <w:rsid w:val="000A1947"/>
    <w:rsid w:val="000B4D5D"/>
    <w:rsid w:val="000C04E3"/>
    <w:rsid w:val="000E084C"/>
    <w:rsid w:val="000E6AE1"/>
    <w:rsid w:val="000F62C9"/>
    <w:rsid w:val="00114DE0"/>
    <w:rsid w:val="00116C58"/>
    <w:rsid w:val="00143F7F"/>
    <w:rsid w:val="00143FF5"/>
    <w:rsid w:val="001462A9"/>
    <w:rsid w:val="00173B8F"/>
    <w:rsid w:val="001A2247"/>
    <w:rsid w:val="001A2486"/>
    <w:rsid w:val="001B6D3D"/>
    <w:rsid w:val="001E1A27"/>
    <w:rsid w:val="001F154C"/>
    <w:rsid w:val="001F5C34"/>
    <w:rsid w:val="00275F88"/>
    <w:rsid w:val="002D16F6"/>
    <w:rsid w:val="002E4CBE"/>
    <w:rsid w:val="002F7154"/>
    <w:rsid w:val="00310AF5"/>
    <w:rsid w:val="00333E11"/>
    <w:rsid w:val="0034683D"/>
    <w:rsid w:val="003566F1"/>
    <w:rsid w:val="003A0EC3"/>
    <w:rsid w:val="003D5B2E"/>
    <w:rsid w:val="00423445"/>
    <w:rsid w:val="00432116"/>
    <w:rsid w:val="00453AD5"/>
    <w:rsid w:val="00461EE7"/>
    <w:rsid w:val="004E76B8"/>
    <w:rsid w:val="004F0D24"/>
    <w:rsid w:val="004F273C"/>
    <w:rsid w:val="00522C46"/>
    <w:rsid w:val="00524AE8"/>
    <w:rsid w:val="00540B41"/>
    <w:rsid w:val="005668BB"/>
    <w:rsid w:val="00570226"/>
    <w:rsid w:val="00573F68"/>
    <w:rsid w:val="0058019A"/>
    <w:rsid w:val="005813F3"/>
    <w:rsid w:val="005979A3"/>
    <w:rsid w:val="005A7DA9"/>
    <w:rsid w:val="005B05B4"/>
    <w:rsid w:val="00632F10"/>
    <w:rsid w:val="00642EF6"/>
    <w:rsid w:val="006648C1"/>
    <w:rsid w:val="00664AD7"/>
    <w:rsid w:val="006827B4"/>
    <w:rsid w:val="006B1A7B"/>
    <w:rsid w:val="006E2B46"/>
    <w:rsid w:val="0074763A"/>
    <w:rsid w:val="00757447"/>
    <w:rsid w:val="007A7249"/>
    <w:rsid w:val="007D0D50"/>
    <w:rsid w:val="0080615A"/>
    <w:rsid w:val="00827860"/>
    <w:rsid w:val="0082797C"/>
    <w:rsid w:val="00834F7F"/>
    <w:rsid w:val="0089273C"/>
    <w:rsid w:val="00896465"/>
    <w:rsid w:val="008A356D"/>
    <w:rsid w:val="008A3666"/>
    <w:rsid w:val="008B4B14"/>
    <w:rsid w:val="008C4860"/>
    <w:rsid w:val="008F5547"/>
    <w:rsid w:val="0090041F"/>
    <w:rsid w:val="00900A98"/>
    <w:rsid w:val="00931EA2"/>
    <w:rsid w:val="00942CD4"/>
    <w:rsid w:val="00950705"/>
    <w:rsid w:val="00A176C2"/>
    <w:rsid w:val="00A33596"/>
    <w:rsid w:val="00A3764F"/>
    <w:rsid w:val="00A6456D"/>
    <w:rsid w:val="00A65E4E"/>
    <w:rsid w:val="00AA2AE6"/>
    <w:rsid w:val="00AF50B5"/>
    <w:rsid w:val="00B02B06"/>
    <w:rsid w:val="00B21DDB"/>
    <w:rsid w:val="00B26ED1"/>
    <w:rsid w:val="00B5686D"/>
    <w:rsid w:val="00BE7799"/>
    <w:rsid w:val="00C15CF3"/>
    <w:rsid w:val="00C41687"/>
    <w:rsid w:val="00C60A7A"/>
    <w:rsid w:val="00C60ED0"/>
    <w:rsid w:val="00C766BF"/>
    <w:rsid w:val="00CF00DF"/>
    <w:rsid w:val="00D03C2A"/>
    <w:rsid w:val="00D105AE"/>
    <w:rsid w:val="00D1126A"/>
    <w:rsid w:val="00D3643D"/>
    <w:rsid w:val="00D6227B"/>
    <w:rsid w:val="00D81FF2"/>
    <w:rsid w:val="00D92BDF"/>
    <w:rsid w:val="00DB3FEF"/>
    <w:rsid w:val="00DB6B6D"/>
    <w:rsid w:val="00DD7193"/>
    <w:rsid w:val="00E14BD5"/>
    <w:rsid w:val="00E22E65"/>
    <w:rsid w:val="00E4017D"/>
    <w:rsid w:val="00E408D3"/>
    <w:rsid w:val="00E42318"/>
    <w:rsid w:val="00E44428"/>
    <w:rsid w:val="00E5537A"/>
    <w:rsid w:val="00E57228"/>
    <w:rsid w:val="00EB0398"/>
    <w:rsid w:val="00EE1C32"/>
    <w:rsid w:val="00EE49A2"/>
    <w:rsid w:val="00EE57B9"/>
    <w:rsid w:val="00EF1FBF"/>
    <w:rsid w:val="00EF2201"/>
    <w:rsid w:val="00EF4F6C"/>
    <w:rsid w:val="00F04E40"/>
    <w:rsid w:val="00F413FE"/>
    <w:rsid w:val="00F41F15"/>
    <w:rsid w:val="00FB72BC"/>
    <w:rsid w:val="144A3B08"/>
    <w:rsid w:val="17462972"/>
    <w:rsid w:val="5EAA6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rFonts w:ascii="Tahoma" w:hAnsi="Tahoma" w:cs="Tahoma"/>
      <w:sz w:val="16"/>
      <w:szCs w:val="16"/>
    </w:rPr>
  </w:style>
  <w:style w:type="paragraph" w:styleId="3">
    <w:name w:val="footer"/>
    <w:basedOn w:val="1"/>
    <w:link w:val="11"/>
    <w:unhideWhenUsed/>
    <w:qFormat/>
    <w:uiPriority w:val="99"/>
    <w:pPr>
      <w:tabs>
        <w:tab w:val="center" w:pos="4153"/>
        <w:tab w:val="right" w:pos="8306"/>
      </w:tabs>
      <w:snapToGrid w:val="0"/>
    </w:pPr>
    <w:rPr>
      <w:rFonts w:asciiTheme="minorHAnsi" w:hAnsiTheme="minorHAnsi"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paragraph" w:styleId="5">
    <w:name w:val="Normal (Web)"/>
    <w:basedOn w:val="1"/>
    <w:unhideWhenUsed/>
    <w:qFormat/>
    <w:uiPriority w:val="99"/>
    <w:pPr>
      <w:spacing w:before="100" w:beforeAutospacing="1" w:after="100" w:afterAutospacing="1"/>
    </w:pPr>
    <w:rPr>
      <w:rFonts w:eastAsia="Times New Roman"/>
    </w:rPr>
  </w:style>
  <w:style w:type="paragraph" w:customStyle="1" w:styleId="8">
    <w:name w:val="默认"/>
    <w:qFormat/>
    <w:uiPriority w:val="0"/>
    <w:pPr>
      <w:spacing w:after="200" w:line="276" w:lineRule="auto"/>
    </w:pPr>
    <w:rPr>
      <w:rFonts w:ascii="Helvetica" w:hAnsi="Helvetica" w:eastAsia="Arial Unicode MS" w:cs="Arial Unicode MS"/>
      <w:color w:val="000000"/>
      <w:sz w:val="22"/>
      <w:szCs w:val="22"/>
      <w:lang w:val="en-US" w:eastAsia="zh-CN" w:bidi="ar-SA"/>
    </w:rPr>
  </w:style>
  <w:style w:type="paragraph" w:customStyle="1" w:styleId="9">
    <w:name w:val="Default"/>
    <w:unhideWhenUsed/>
    <w:qFormat/>
    <w:uiPriority w:val="99"/>
    <w:pPr>
      <w:widowControl w:val="0"/>
      <w:autoSpaceDE w:val="0"/>
      <w:autoSpaceDN w:val="0"/>
      <w:adjustRightInd w:val="0"/>
      <w:spacing w:after="200" w:line="276" w:lineRule="auto"/>
    </w:pPr>
    <w:rPr>
      <w:rFonts w:hint="eastAsia" w:ascii="Arial" w:hAnsi="Arial" w:cs="Times New Roman" w:eastAsiaTheme="minorEastAsia"/>
      <w:color w:val="000000"/>
      <w:sz w:val="24"/>
      <w:lang w:val="en-US" w:eastAsia="zh-CN" w:bidi="ar-SA"/>
    </w:rPr>
  </w:style>
  <w:style w:type="character" w:customStyle="1" w:styleId="10">
    <w:name w:val="Header Char"/>
    <w:basedOn w:val="7"/>
    <w:link w:val="4"/>
    <w:qFormat/>
    <w:uiPriority w:val="99"/>
    <w:rPr>
      <w:rFonts w:asciiTheme="minorHAnsi" w:hAnsiTheme="minorHAnsi" w:eastAsiaTheme="minorEastAsia" w:cstheme="minorBidi"/>
      <w:sz w:val="18"/>
      <w:szCs w:val="18"/>
    </w:rPr>
  </w:style>
  <w:style w:type="character" w:customStyle="1" w:styleId="11">
    <w:name w:val="Footer Char"/>
    <w:basedOn w:val="7"/>
    <w:link w:val="3"/>
    <w:qFormat/>
    <w:uiPriority w:val="99"/>
    <w:rPr>
      <w:rFonts w:asciiTheme="minorHAnsi" w:hAnsiTheme="minorHAnsi" w:eastAsiaTheme="minorEastAsia" w:cstheme="minorBidi"/>
      <w:sz w:val="18"/>
      <w:szCs w:val="18"/>
    </w:rPr>
  </w:style>
  <w:style w:type="character" w:customStyle="1" w:styleId="12">
    <w:name w:val="Balloon Text Char"/>
    <w:basedOn w:val="7"/>
    <w:link w:val="2"/>
    <w:qFormat/>
    <w:uiPriority w:val="99"/>
    <w:rPr>
      <w:rFonts w:ascii="Tahoma" w:hAnsi="Tahoma" w:cs="Tahoma" w:eastAsiaTheme="minorEastAsia"/>
      <w:sz w:val="16"/>
      <w:szCs w:val="16"/>
    </w:rPr>
  </w:style>
  <w:style w:type="paragraph" w:styleId="13">
    <w:name w:val="List Paragraph"/>
    <w:basedOn w:val="1"/>
    <w:unhideWhenUsed/>
    <w:qFormat/>
    <w:uiPriority w:val="34"/>
    <w:pPr>
      <w:ind w:left="720"/>
      <w:contextualSpacing/>
    </w:pPr>
    <w:rPr>
      <w:rFonts w:asciiTheme="minorHAnsi" w:hAnsiTheme="minorHAnsi" w:cstheme="minorBidi"/>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932</Words>
  <Characters>5302</Characters>
  <Lines>300</Lines>
  <Paragraphs>84</Paragraphs>
  <TotalTime>143</TotalTime>
  <ScaleCrop>false</ScaleCrop>
  <LinksUpToDate>false</LinksUpToDate>
  <CharactersWithSpaces>6163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2022-02-16T05:08:00Z</dcterms:created>
  <dc:creator>Microsoft Office User</dc:creator>
  <cp:lastModifiedBy>Darren</cp:lastModifiedBy>
  <dcterms:modified xsi:type="dcterms:W3CDTF">2023-05-29T09:05:00Z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65A29C5470DE47089B98A293E1A8DA7B</vt:lpwstr>
  </property>
</Properties>
</file>