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FC6" w:rsidRDefault="009E05C4" w:rsidP="00ED4FC6">
      <w:pPr>
        <w:jc w:val="center"/>
        <w:rPr>
          <w:b/>
          <w:color w:val="FF0000"/>
          <w:sz w:val="32"/>
          <w:szCs w:val="32"/>
        </w:rPr>
      </w:pPr>
      <w:r>
        <w:rPr>
          <w:rFonts w:hint="eastAsia"/>
          <w:b/>
          <w:color w:val="FF0000"/>
          <w:sz w:val="32"/>
          <w:szCs w:val="32"/>
        </w:rPr>
        <w:t xml:space="preserve"> </w:t>
      </w:r>
      <w:bookmarkStart w:id="0" w:name="_GoBack"/>
      <w:bookmarkEnd w:id="0"/>
      <w:r w:rsidR="00ED4FC6">
        <w:rPr>
          <w:rFonts w:hint="eastAsia"/>
          <w:b/>
          <w:color w:val="FF0000"/>
          <w:sz w:val="32"/>
          <w:szCs w:val="32"/>
        </w:rPr>
        <w:t>（超全、必看）</w:t>
      </w:r>
      <w:r w:rsidR="00ED4FC6">
        <w:rPr>
          <w:rFonts w:hint="eastAsia"/>
          <w:b/>
          <w:color w:val="FF0000"/>
          <w:sz w:val="32"/>
          <w:szCs w:val="32"/>
        </w:rPr>
        <w:t>60</w:t>
      </w:r>
      <w:r w:rsidR="00ED4FC6">
        <w:rPr>
          <w:rFonts w:hint="eastAsia"/>
          <w:b/>
          <w:color w:val="FF0000"/>
          <w:sz w:val="32"/>
          <w:szCs w:val="32"/>
        </w:rPr>
        <w:t>种合理避税的方法</w:t>
      </w:r>
    </w:p>
    <w:p w:rsidR="00ED4FC6" w:rsidRDefault="00ED4FC6" w:rsidP="00ED4FC6">
      <w:pPr>
        <w:autoSpaceDN w:val="0"/>
        <w:spacing w:before="210" w:after="210" w:line="330" w:lineRule="atLeast"/>
        <w:rPr>
          <w:rFonts w:ascii="Tahoma" w:hAnsi="宋体"/>
          <w:color w:val="000000"/>
        </w:rPr>
      </w:pPr>
      <w:r>
        <w:rPr>
          <w:rFonts w:ascii="宋体" w:hAnsi="宋体"/>
          <w:color w:val="000000"/>
        </w:rPr>
        <w:t>在日常税务处理中，纳税人在会计处理上利用多种手法，减少上缴税收；合理规避偷逃国家税收的嫌疑。其手段随经营方式、结算方式的不同，使会计处理方法各异，现择在工作实践中发现的各类手段、手法录于此文，供广大工作者参考</w:t>
      </w:r>
      <w:r>
        <w:rPr>
          <w:rFonts w:ascii="宋体" w:hAnsi="宋体" w:hint="eastAsia"/>
          <w:color w:val="000000"/>
        </w:rPr>
        <w:t>：</w:t>
      </w:r>
    </w:p>
    <w:p w:rsidR="00ED4FC6" w:rsidRDefault="00ED4FC6" w:rsidP="00ED4FC6">
      <w:pPr>
        <w:autoSpaceDN w:val="0"/>
        <w:spacing w:before="210" w:after="210" w:line="330" w:lineRule="atLeast"/>
        <w:rPr>
          <w:rFonts w:ascii="Tahoma" w:hAnsi="宋体"/>
          <w:b/>
          <w:bCs/>
          <w:color w:val="FF0000"/>
        </w:rPr>
      </w:pPr>
      <w:r>
        <w:rPr>
          <w:rFonts w:ascii="宋体" w:hAnsi="宋体"/>
          <w:b/>
          <w:bCs/>
          <w:color w:val="FF0000"/>
        </w:rPr>
        <w:t>一、销售收进方面（销项税额）</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（一）发出商品，不按“权责发生制”的原则按时记销售收进，而是以收到货款为实现销售的依据。其表现为：发出商品时，仓库保管员记帐，会计不记帐。</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（二）原材料转让、磨帐不记“其它业务收进”，而是记“营业外收进”，或者直接磨掉“应付帐款”，不颊贯“销项税额”。</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（三）以“预收帐款”方式销售货物，产品（商品）发出时不按时转记销售收进，长期挂帐，造成进项税额大于销项税额。</w:t>
      </w:r>
    </w:p>
    <w:p w:rsidR="00ED4FC6" w:rsidRDefault="00ED4FC6" w:rsidP="00ED4FC6">
      <w:pPr>
        <w:autoSpaceDN w:val="0"/>
        <w:spacing w:before="210" w:after="210" w:line="330" w:lineRule="atLeast"/>
        <w:rPr>
          <w:rFonts w:ascii="Tahoma" w:hAnsi="宋体"/>
          <w:color w:val="000000"/>
        </w:rPr>
      </w:pPr>
      <w:r>
        <w:rPr>
          <w:rFonts w:ascii="宋体" w:hAnsi="宋体"/>
          <w:color w:val="000000"/>
        </w:rPr>
        <w:t>（四）制造大型设备的工业企业则把质保金长期挂帐不转记销售收进。</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（五）价外收进不记销售收进，不颊贯销项税额。如：托收承付违约金，大部分企业收到违约金后，增加银行存款冲减财务费用。</w:t>
      </w:r>
    </w:p>
    <w:p w:rsidR="00ED4FC6" w:rsidRDefault="00ED4FC6" w:rsidP="00ED4FC6">
      <w:pPr>
        <w:autoSpaceDN w:val="0"/>
        <w:spacing w:before="210" w:after="210" w:line="330" w:lineRule="atLeast"/>
        <w:rPr>
          <w:rFonts w:ascii="Tahoma" w:hAnsi="宋体"/>
          <w:color w:val="000000"/>
        </w:rPr>
      </w:pPr>
      <w:r>
        <w:rPr>
          <w:rFonts w:ascii="宋体" w:hAnsi="宋体"/>
          <w:color w:val="000000"/>
        </w:rPr>
        <w:t>（六）三包收进”不记销售收进。产品“三包”收进是指厂家除向定点维修点支付费用外，还有按一定比例支付商家“三包费用”（含配件），保修点及商家挂帐不记收进，配件相当一部分都记进“代保管商品”。</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（七）废品、边角料收进不记帐。主要势笠倒芾恧业企业的金属边角料、铁肖、铜肖、铝肖、残次品、  已利用过的包装物、液体等。这些收进多为现金收进，是个体经营者收购。纳税人将这些收进存进私人帐户，少数应用在职工福利上，如：食堂补助，极个别用于上缴管理费，多数用在吃喝玩乐和送礼上。</w:t>
      </w:r>
    </w:p>
    <w:p w:rsidR="00ED4FC6" w:rsidRDefault="00ED4FC6" w:rsidP="00ED4FC6">
      <w:pPr>
        <w:autoSpaceDN w:val="0"/>
        <w:spacing w:before="210" w:after="210" w:line="330" w:lineRule="atLeast"/>
        <w:rPr>
          <w:rFonts w:ascii="Tahoma" w:hAnsi="宋体"/>
          <w:color w:val="000000"/>
        </w:rPr>
      </w:pPr>
      <w:r>
        <w:rPr>
          <w:rFonts w:ascii="宋体" w:hAnsi="宋体"/>
          <w:color w:val="000000"/>
        </w:rPr>
        <w:t>（八）返利销售。市场经济下的营销方式多变，返利销售是厂家为占领市场，对商家经营本厂产品低于市场价格的利益补偿, 是新产品占领市场的有效手段, 是市场营销策略的组成部分. 其形式主要有两种:</w:t>
      </w:r>
    </w:p>
    <w:p w:rsidR="00ED56DA" w:rsidRDefault="00ED4FC6" w:rsidP="00ED4FC6">
      <w:pPr>
        <w:rPr>
          <w:rFonts w:ascii="宋体" w:hAnsi="宋体"/>
          <w:color w:val="000000"/>
        </w:rPr>
      </w:pPr>
      <w:r>
        <w:rPr>
          <w:rFonts w:ascii="宋体" w:hAnsi="宋体"/>
          <w:color w:val="000000"/>
        </w:rPr>
        <w:t xml:space="preserve">       一是商家销售厂家一定数量的产品, 并按时付完货款, 厂家按一定比例返还现金</w:t>
      </w:r>
      <w:r>
        <w:rPr>
          <w:rFonts w:ascii="宋体" w:hAnsi="宋体" w:hint="eastAsia"/>
          <w:color w:val="000000"/>
        </w:rPr>
        <w:t>。</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二是返还实物、产品、或者配件。</w:t>
      </w:r>
    </w:p>
    <w:p w:rsidR="00ED4FC6" w:rsidRDefault="00ED4FC6" w:rsidP="00ED4FC6">
      <w:pPr>
        <w:autoSpaceDN w:val="0"/>
        <w:spacing w:before="210" w:after="210" w:line="330" w:lineRule="atLeast"/>
        <w:rPr>
          <w:rFonts w:ascii="Tahoma" w:hAnsi="宋体"/>
          <w:color w:val="000000"/>
        </w:rPr>
      </w:pPr>
      <w:r>
        <w:rPr>
          <w:rFonts w:ascii="宋体" w:hAnsi="宋体"/>
          <w:color w:val="000000"/>
        </w:rPr>
        <w:t xml:space="preserve">       商家接到这些现金、实物后，现金不进帐也不作价外收进，更不作“进项税额转出”，形成帐外经营。</w:t>
      </w:r>
    </w:p>
    <w:p w:rsidR="00ED4FC6" w:rsidRDefault="00ED4FC6" w:rsidP="00ED4FC6">
      <w:pPr>
        <w:autoSpaceDN w:val="0"/>
        <w:spacing w:before="210" w:after="210" w:line="330" w:lineRule="atLeast"/>
        <w:rPr>
          <w:rFonts w:ascii="Tahoma" w:hAnsi="宋体"/>
          <w:color w:val="000000"/>
        </w:rPr>
      </w:pPr>
      <w:r>
        <w:rPr>
          <w:rFonts w:ascii="宋体" w:hAnsi="宋体"/>
          <w:color w:val="000000"/>
        </w:rPr>
        <w:t>（九）折让收进。折让即折让与折扣，相似于返利销售，所不同的是：折让是发生在销售实现的时候，在发票上注明或另开一张红票反映的销售方式。按照税法规定，在发票上注明折让数额的，按实际收款记收进。另外开具红票的，不允许冲减收进。在实际工作中，纳税人往往是用红票冲减收进，将冲减的收进以现金方式给购货员，购货方不记价外收进，造成少</w:t>
      </w:r>
      <w:r>
        <w:rPr>
          <w:rFonts w:ascii="宋体" w:hAnsi="宋体"/>
          <w:color w:val="000000"/>
        </w:rPr>
        <w:lastRenderedPageBreak/>
        <w:t>缴税款。</w:t>
      </w:r>
    </w:p>
    <w:p w:rsidR="00ED4FC6" w:rsidRDefault="00ED4FC6" w:rsidP="00ED4FC6">
      <w:pPr>
        <w:autoSpaceDN w:val="0"/>
        <w:spacing w:before="210" w:after="210" w:line="330" w:lineRule="atLeast"/>
        <w:rPr>
          <w:rFonts w:ascii="Tahoma" w:hAnsi="宋体"/>
          <w:color w:val="000000"/>
        </w:rPr>
      </w:pPr>
      <w:r>
        <w:rPr>
          <w:rFonts w:ascii="宋体" w:hAnsi="宋体"/>
          <w:color w:val="000000"/>
        </w:rPr>
        <w:t>（十）包装物押金逾期（满一年）不转记销售收进。</w:t>
      </w:r>
    </w:p>
    <w:p w:rsidR="00ED4FC6" w:rsidRDefault="00ED4FC6" w:rsidP="00ED4FC6">
      <w:pPr>
        <w:autoSpaceDN w:val="0"/>
        <w:spacing w:before="210" w:after="210" w:line="330" w:lineRule="atLeast"/>
        <w:rPr>
          <w:rFonts w:ascii="Tahoma" w:hAnsi="宋体"/>
          <w:color w:val="000000"/>
        </w:rPr>
      </w:pPr>
      <w:r>
        <w:rPr>
          <w:rFonts w:ascii="宋体" w:hAnsi="宋体"/>
          <w:color w:val="000000"/>
        </w:rPr>
        <w:t>（十一）从事生产经营和应税劳务的混合销售，纳税人记帐选择有利于己的方法记帐和申报纳 税。</w:t>
      </w:r>
      <w:r>
        <w:rPr>
          <w:rFonts w:ascii="宋体" w:hAnsi="宋体"/>
          <w:sz w:val="24"/>
        </w:rPr>
        <w:br/>
      </w:r>
      <w:r>
        <w:rPr>
          <w:rFonts w:ascii="宋体" w:hAnsi="宋体"/>
          <w:color w:val="000000"/>
        </w:rPr>
        <w:t>（十二）销售使用过的固定资产，包括应缴消费税的摩托车、汽车、游艇等，不符合免税规定的，也不按4%的征收率计算缴纳增值税，而是直接记营业外收进。</w:t>
      </w:r>
    </w:p>
    <w:p w:rsidR="00ED4FC6" w:rsidRDefault="00ED4FC6" w:rsidP="00ED4FC6">
      <w:pPr>
        <w:autoSpaceDN w:val="0"/>
        <w:spacing w:before="210" w:after="210" w:line="330" w:lineRule="atLeast"/>
        <w:rPr>
          <w:rFonts w:ascii="Tahoma" w:hAnsi="宋体"/>
          <w:color w:val="000000"/>
        </w:rPr>
      </w:pPr>
      <w:r>
        <w:rPr>
          <w:rFonts w:ascii="宋体" w:hAnsi="宋体"/>
          <w:color w:val="000000"/>
        </w:rPr>
        <w:t>（十三）为调节本企业的收进及利润计划，人为调整收进，将已实现的收进延期记帐。</w:t>
      </w:r>
    </w:p>
    <w:p w:rsidR="00ED4FC6" w:rsidRDefault="00ED4FC6" w:rsidP="00ED4FC6">
      <w:pPr>
        <w:autoSpaceDN w:val="0"/>
        <w:spacing w:before="210" w:after="210" w:line="330" w:lineRule="atLeast"/>
        <w:rPr>
          <w:rFonts w:ascii="Tahoma" w:hAnsi="宋体"/>
          <w:color w:val="000000"/>
        </w:rPr>
      </w:pPr>
      <w:r>
        <w:rPr>
          <w:rFonts w:ascii="宋体" w:hAnsi="宋体"/>
          <w:color w:val="000000"/>
        </w:rPr>
        <w:t>（十四）视同销售不记收进。企业用原材料、产成品等长期投资，产品（商品）送礼或作样品进行展销，不视同销售记收进，不记提销项税额。</w:t>
      </w:r>
    </w:p>
    <w:p w:rsidR="00ED4FC6" w:rsidRDefault="00ED4FC6" w:rsidP="00ED4FC6">
      <w:pPr>
        <w:autoSpaceDN w:val="0"/>
        <w:spacing w:before="210" w:after="210" w:line="330" w:lineRule="atLeast"/>
        <w:rPr>
          <w:rFonts w:ascii="Tahoma" w:hAnsi="宋体"/>
          <w:color w:val="000000"/>
        </w:rPr>
      </w:pPr>
      <w:r>
        <w:rPr>
          <w:rFonts w:ascii="宋体" w:hAnsi="宋体"/>
          <w:color w:val="000000"/>
        </w:rPr>
        <w:t>（十五）母公司，下挂 *多家子公司，涉及增值税发票、普通发票部分的业务全部在母公司核算，其它任由子公司，子公司每年向母公司上缴一定的管理费。</w:t>
      </w:r>
    </w:p>
    <w:p w:rsidR="00ED4FC6" w:rsidRDefault="00ED4FC6" w:rsidP="00ED4FC6">
      <w:pPr>
        <w:autoSpaceDN w:val="0"/>
        <w:spacing w:before="210" w:after="210" w:line="330" w:lineRule="atLeast"/>
        <w:rPr>
          <w:rFonts w:ascii="Tahoma" w:hAnsi="宋体"/>
          <w:color w:val="000000"/>
        </w:rPr>
      </w:pPr>
      <w:r>
        <w:rPr>
          <w:rFonts w:ascii="宋体" w:hAnsi="宋体"/>
          <w:color w:val="000000"/>
        </w:rPr>
        <w:t>（十六）小规模纳税人为了达到一般纳税人标准，在认定后，达不到标准将要年检时，采取多家一般纳税人互相开具增值税专用发票，货款也互相支付，但就是一点，几家开具发票，互相之间的业务都不增值，这些就是一些企业税负偏低的一种原因。</w:t>
      </w:r>
    </w:p>
    <w:p w:rsidR="00ED4FC6" w:rsidRDefault="00ED4FC6" w:rsidP="00ED4FC6">
      <w:pPr>
        <w:autoSpaceDN w:val="0"/>
        <w:spacing w:before="210" w:after="210" w:line="330" w:lineRule="atLeast"/>
        <w:rPr>
          <w:rFonts w:ascii="Tahoma" w:hAnsi="宋体"/>
          <w:color w:val="000000"/>
        </w:rPr>
      </w:pPr>
      <w:r>
        <w:rPr>
          <w:rFonts w:ascii="宋体" w:hAnsi="宋体"/>
          <w:color w:val="000000"/>
        </w:rPr>
        <w:t>（十七）已开具的增值税发票丢失，又开具普通发票，不记收进。</w:t>
      </w:r>
    </w:p>
    <w:p w:rsidR="00ED4FC6" w:rsidRDefault="00ED4FC6" w:rsidP="00ED4FC6">
      <w:pPr>
        <w:autoSpaceDN w:val="0"/>
        <w:spacing w:before="210" w:after="210" w:line="330" w:lineRule="atLeast"/>
        <w:rPr>
          <w:rFonts w:ascii="Tahoma" w:hAnsi="宋体"/>
          <w:color w:val="000000"/>
        </w:rPr>
      </w:pPr>
      <w:r>
        <w:rPr>
          <w:rFonts w:ascii="Tahoma" w:hAnsi="宋体"/>
          <w:color w:val="000000"/>
        </w:rPr>
        <w:br/>
      </w:r>
      <w:r>
        <w:rPr>
          <w:rFonts w:ascii="宋体" w:hAnsi="宋体"/>
          <w:b/>
          <w:bCs/>
          <w:color w:val="FF0000"/>
        </w:rPr>
        <w:t>二、进项税额方面</w:t>
      </w:r>
    </w:p>
    <w:p w:rsidR="00ED4FC6" w:rsidRDefault="00ED4FC6" w:rsidP="00ED4FC6">
      <w:pPr>
        <w:autoSpaceDN w:val="0"/>
        <w:spacing w:before="210" w:after="210" w:line="330" w:lineRule="atLeast"/>
        <w:rPr>
          <w:rFonts w:ascii="Tahoma" w:hAnsi="宋体"/>
          <w:color w:val="000000"/>
        </w:rPr>
      </w:pPr>
      <w:r>
        <w:rPr>
          <w:rFonts w:ascii="宋体" w:hAnsi="宋体"/>
          <w:color w:val="000000"/>
        </w:rPr>
        <w:t>（十八）商业企业按工业企业办理税务登记和认定增值税一般纳税人，抵扣进项税额不按付款凭证而按原材料进库单。</w:t>
      </w:r>
    </w:p>
    <w:p w:rsidR="00ED4FC6" w:rsidRDefault="00ED4FC6" w:rsidP="00ED4FC6">
      <w:pPr>
        <w:autoSpaceDN w:val="0"/>
        <w:spacing w:before="210" w:after="210" w:line="330" w:lineRule="atLeast"/>
        <w:rPr>
          <w:rFonts w:ascii="Tahoma" w:hAnsi="宋体"/>
          <w:color w:val="000000"/>
        </w:rPr>
      </w:pPr>
      <w:r>
        <w:rPr>
          <w:rFonts w:ascii="宋体" w:hAnsi="宋体"/>
          <w:color w:val="000000"/>
        </w:rPr>
        <w:t>（十九）购进货物时，工业没有验收人库，或者利用发料单代替进库单，申报抵扣。商业没有付完款，自审抵扣，或者先虚开一张大额现金收据，先增加“现金”后，以坐支现金的方式让对方开一张现金收据回来办理抵扣，这些业务没有大量的外调取证很难查清楚。</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（二十）用背书的汇票作预付帐款，利用现代技术涂改多次复印充当付款凭证，用来骗取抵扣。</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（二十一）应税劳务没有付款申报抵扣（委托加工、水、电、运费）。</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（二十二）在建工程领用原材料或者用作本单位的福利等非应税项目，不作进项税额转出。</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（二十三）取得进项专用发票，开票方、收款方不一致，票货、票款异地申报抵扣。</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（二十四）商业企业磨帐不报税务机关批准，擅自抵扣税款。</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（二十五）用预付款凭证（大额支票）多次复印，多次充作付款凭证，进行申报抵扣。</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（二十六）运输发票开具不全，票货不符，或者取得假发票进行抵扣。</w:t>
      </w:r>
    </w:p>
    <w:p w:rsidR="00ED4FC6" w:rsidRDefault="00ED4FC6" w:rsidP="00ED4FC6">
      <w:pPr>
        <w:autoSpaceDN w:val="0"/>
        <w:spacing w:before="210" w:after="210" w:line="330" w:lineRule="atLeast"/>
        <w:rPr>
          <w:rFonts w:ascii="Tahoma" w:hAnsi="宋体"/>
          <w:color w:val="000000"/>
        </w:rPr>
      </w:pPr>
      <w:r>
        <w:rPr>
          <w:rFonts w:ascii="宋体" w:hAnsi="宋体"/>
          <w:color w:val="000000"/>
        </w:rPr>
        <w:lastRenderedPageBreak/>
        <w:t>（二十七）为达抵扣目的，没有运输业务，往运管办、货运中心、地税局等单位企业管理进行申报抵扣。</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（二十八）铁路客运发票（行李票）当作运输发票进行申报抵扣.</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（二十九）最为典型的是个别企业将拉运垃圾的发票当作运输货物发票申报抵扣。</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（三十）进项发票丢失，仍然抵扣进项税额。</w:t>
      </w:r>
    </w:p>
    <w:p w:rsidR="00ED4FC6" w:rsidRDefault="00ED4FC6" w:rsidP="00ED4FC6">
      <w:pPr>
        <w:autoSpaceDN w:val="0"/>
        <w:spacing w:before="210" w:after="210" w:line="330" w:lineRule="atLeast"/>
        <w:rPr>
          <w:rFonts w:ascii="宋体" w:hAnsi="宋体"/>
          <w:color w:val="000000"/>
        </w:rPr>
      </w:pPr>
    </w:p>
    <w:p w:rsidR="00ED4FC6" w:rsidRDefault="00ED4FC6" w:rsidP="00ED4FC6">
      <w:pPr>
        <w:autoSpaceDN w:val="0"/>
        <w:spacing w:before="210" w:after="210" w:line="330" w:lineRule="atLeast"/>
        <w:rPr>
          <w:rFonts w:ascii="Tahoma" w:hAnsi="宋体"/>
          <w:b/>
          <w:bCs/>
          <w:color w:val="FF0000"/>
        </w:rPr>
      </w:pPr>
      <w:r>
        <w:rPr>
          <w:rFonts w:ascii="宋体" w:hAnsi="宋体"/>
          <w:b/>
          <w:bCs/>
          <w:color w:val="FF0000"/>
        </w:rPr>
        <w:t xml:space="preserve"> 三、应缴税金方面</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（三十一）代扣代缴税金长期挂帐不缴。</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（三十二）稽核评税、税务稽查查补的增值税、所得税补缴后，不作帐务调整，该作进项转出的不转出，该调增所得额的不调整帐务，造成明征暗退。有的把补缴的增值税再记进进项税额。</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（三十三）福利企业外购原材料转让或者直接销售，自己没有生产能力，委托加工就地销售、也按自产产品申报骗取退税。</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（三十四）福利企业该取得增值税专用发票不取得，自认为反正是退税，造成税负偏高，退税也多。</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（三十五）福利企业购进货物使用白条，骗取高税负退税。</w:t>
      </w:r>
    </w:p>
    <w:p w:rsidR="00ED4FC6" w:rsidRDefault="00ED4FC6" w:rsidP="00ED4FC6">
      <w:pPr>
        <w:autoSpaceDN w:val="0"/>
        <w:spacing w:before="210" w:after="210" w:line="330" w:lineRule="atLeast"/>
        <w:rPr>
          <w:rFonts w:ascii="Tahoma" w:hAnsi="宋体"/>
          <w:color w:val="000000"/>
        </w:rPr>
      </w:pPr>
      <w:r>
        <w:rPr>
          <w:rFonts w:ascii="Tahoma" w:hAnsi="宋体"/>
          <w:color w:val="000000"/>
        </w:rPr>
        <w:br/>
      </w:r>
      <w:r>
        <w:rPr>
          <w:rFonts w:ascii="宋体" w:hAnsi="宋体"/>
          <w:b/>
          <w:bCs/>
          <w:color w:val="FF0000"/>
        </w:rPr>
        <w:t>四、企业所得税方面</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（三十六）中央与地方企业所得税划分模糊，纳税人为方便，只在地税办理税务登记。特别是2002年实行各50%企业所得税以来，由于国地税信息不共享，致使在2002年新办证的纳税人没有全部到国税办理税务登记。</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（三十七）企业收取的承包费不记人所得额，长期投资、联营分回的盈亏不在帐上反映，始终在往来帐上反复。</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（三十八）购买股票、债券取得的收进不按时转记投资收益。</w:t>
      </w:r>
    </w:p>
    <w:p w:rsidR="00ED4FC6" w:rsidRDefault="00ED4FC6" w:rsidP="00ED4FC6">
      <w:pPr>
        <w:autoSpaceDN w:val="0"/>
        <w:spacing w:before="210" w:after="210" w:line="330" w:lineRule="atLeast"/>
        <w:rPr>
          <w:rFonts w:ascii="Tahoma" w:hAnsi="宋体"/>
          <w:color w:val="000000"/>
        </w:rPr>
      </w:pPr>
      <w:r>
        <w:rPr>
          <w:rFonts w:ascii="宋体" w:hAnsi="宋体"/>
          <w:color w:val="000000"/>
        </w:rPr>
        <w:t>（三十九）未经税务机关批准，提取上缴管理费。</w:t>
      </w:r>
    </w:p>
    <w:p w:rsidR="00ED4FC6" w:rsidRDefault="00ED4FC6" w:rsidP="00ED4FC6">
      <w:pPr>
        <w:autoSpaceDN w:val="0"/>
        <w:spacing w:before="210" w:after="210" w:line="330" w:lineRule="atLeast"/>
        <w:rPr>
          <w:rFonts w:ascii="Tahoma" w:hAnsi="宋体"/>
          <w:color w:val="000000"/>
        </w:rPr>
      </w:pPr>
      <w:r>
        <w:rPr>
          <w:rFonts w:ascii="宋体" w:hAnsi="宋体"/>
          <w:color w:val="000000"/>
        </w:rPr>
        <w:t>（四十）发生大宗装修、装潢费用以及待摊费用不报税务机关批准就摊销。</w:t>
      </w:r>
    </w:p>
    <w:p w:rsidR="00ED4FC6" w:rsidRDefault="00ED4FC6" w:rsidP="00ED4FC6">
      <w:pPr>
        <w:autoSpaceDN w:val="0"/>
        <w:spacing w:before="210" w:after="210" w:line="330" w:lineRule="atLeast"/>
        <w:rPr>
          <w:rFonts w:ascii="Tahoma" w:hAnsi="宋体"/>
          <w:color w:val="000000"/>
        </w:rPr>
      </w:pPr>
      <w:r>
        <w:rPr>
          <w:rFonts w:ascii="宋体" w:hAnsi="宋体"/>
          <w:color w:val="000000"/>
        </w:rPr>
        <w:t>（四十一）多颊贯应付工资，年终将结余部分上缴主管部门。</w:t>
      </w:r>
    </w:p>
    <w:p w:rsidR="00ED4FC6" w:rsidRDefault="00ED4FC6" w:rsidP="00ED4FC6">
      <w:pPr>
        <w:autoSpaceDN w:val="0"/>
        <w:spacing w:before="210" w:after="210" w:line="330" w:lineRule="atLeast"/>
        <w:rPr>
          <w:rFonts w:ascii="Tahoma" w:hAnsi="宋体"/>
          <w:color w:val="000000"/>
        </w:rPr>
      </w:pPr>
      <w:r>
        <w:rPr>
          <w:rFonts w:ascii="宋体" w:hAnsi="宋体"/>
          <w:color w:val="000000"/>
        </w:rPr>
        <w:t>（四十二）不上缴统筹金的单位，颊贯统筹金长期挂帐不缴。</w:t>
      </w:r>
    </w:p>
    <w:p w:rsidR="00ED4FC6" w:rsidRDefault="00ED4FC6" w:rsidP="00ED4FC6">
      <w:pPr>
        <w:autoSpaceDN w:val="0"/>
        <w:spacing w:before="210" w:after="210" w:line="330" w:lineRule="atLeast"/>
        <w:rPr>
          <w:rFonts w:ascii="Tahoma" w:hAnsi="宋体"/>
          <w:color w:val="000000"/>
        </w:rPr>
      </w:pPr>
      <w:r>
        <w:rPr>
          <w:rFonts w:ascii="宋体" w:hAnsi="宋体"/>
          <w:color w:val="000000"/>
        </w:rPr>
        <w:t>（四十三）购买土地，准备扩建，将土地作为固定资产颊贯折旧。</w:t>
      </w:r>
    </w:p>
    <w:p w:rsidR="00ED4FC6" w:rsidRDefault="00ED4FC6" w:rsidP="00ED4FC6">
      <w:pPr>
        <w:autoSpaceDN w:val="0"/>
        <w:spacing w:before="210" w:after="210" w:line="330" w:lineRule="atLeast"/>
        <w:rPr>
          <w:rFonts w:ascii="Tahoma" w:hAnsi="宋体"/>
          <w:color w:val="000000"/>
        </w:rPr>
      </w:pPr>
      <w:r>
        <w:rPr>
          <w:rFonts w:ascii="宋体" w:hAnsi="宋体"/>
          <w:color w:val="000000"/>
        </w:rPr>
        <w:lastRenderedPageBreak/>
        <w:t>（四十四）盘盈的固定资产、流动资产不作损益处理。</w:t>
      </w:r>
    </w:p>
    <w:p w:rsidR="00ED4FC6" w:rsidRDefault="00ED4FC6" w:rsidP="00ED4FC6">
      <w:pPr>
        <w:autoSpaceDN w:val="0"/>
        <w:spacing w:before="210" w:after="210" w:line="330" w:lineRule="atLeast"/>
        <w:rPr>
          <w:rFonts w:ascii="Tahoma" w:hAnsi="宋体"/>
          <w:color w:val="000000"/>
        </w:rPr>
      </w:pPr>
      <w:r>
        <w:rPr>
          <w:rFonts w:ascii="宋体" w:hAnsi="宋体"/>
          <w:color w:val="000000"/>
        </w:rPr>
        <w:t>（四十五）白条支付水电费。</w:t>
      </w:r>
    </w:p>
    <w:p w:rsidR="00ED4FC6" w:rsidRDefault="00ED4FC6" w:rsidP="00ED4FC6">
      <w:pPr>
        <w:autoSpaceDN w:val="0"/>
        <w:spacing w:before="210" w:after="210" w:line="330" w:lineRule="atLeast"/>
        <w:rPr>
          <w:rFonts w:ascii="Tahoma" w:hAnsi="宋体"/>
          <w:color w:val="000000"/>
        </w:rPr>
      </w:pPr>
      <w:r>
        <w:rPr>
          <w:rFonts w:ascii="宋体" w:hAnsi="宋体"/>
          <w:color w:val="000000"/>
        </w:rPr>
        <w:t>（四十六）购买假发票人帐。</w:t>
      </w:r>
    </w:p>
    <w:p w:rsidR="00ED4FC6" w:rsidRDefault="00ED4FC6" w:rsidP="00ED4FC6">
      <w:pPr>
        <w:autoSpaceDN w:val="0"/>
        <w:spacing w:before="210" w:after="210" w:line="330" w:lineRule="atLeast"/>
        <w:rPr>
          <w:rFonts w:ascii="Tahoma" w:hAnsi="宋体"/>
          <w:color w:val="000000"/>
        </w:rPr>
      </w:pPr>
      <w:r>
        <w:rPr>
          <w:rFonts w:ascii="宋体" w:hAnsi="宋体"/>
          <w:color w:val="000000"/>
        </w:rPr>
        <w:t>（四十七）应有个人承担的个人所得税进进管理费-其它。</w:t>
      </w:r>
      <w:r>
        <w:rPr>
          <w:rFonts w:ascii="宋体" w:hAnsi="宋体"/>
          <w:sz w:val="24"/>
        </w:rPr>
        <w:br/>
      </w:r>
      <w:r>
        <w:rPr>
          <w:rFonts w:ascii="宋体" w:hAnsi="宋体"/>
          <w:sz w:val="24"/>
        </w:rPr>
        <w:br/>
      </w:r>
      <w:r>
        <w:rPr>
          <w:rFonts w:ascii="宋体" w:hAnsi="宋体"/>
          <w:color w:val="000000"/>
        </w:rPr>
        <w:t>（四十八）主管部门向下级分摊费用，下级只有记帐支付凭证，没有原始凭证。</w:t>
      </w:r>
    </w:p>
    <w:p w:rsidR="00ED4FC6" w:rsidRDefault="00ED4FC6" w:rsidP="00ED4FC6">
      <w:pPr>
        <w:autoSpaceDN w:val="0"/>
        <w:spacing w:before="210" w:after="210" w:line="330" w:lineRule="atLeast"/>
        <w:rPr>
          <w:rFonts w:ascii="Tahoma" w:hAnsi="宋体"/>
          <w:color w:val="000000"/>
        </w:rPr>
      </w:pPr>
      <w:r>
        <w:rPr>
          <w:rFonts w:ascii="宋体" w:hAnsi="宋体"/>
          <w:color w:val="000000"/>
        </w:rPr>
        <w:t>（四十九）邮政、电信行业收取的邮资、话费没有按照规定开具发票，用盖邮戳的白条、托收承付票据给客户。</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（五十）报销不属于自己单位的发票、税票。</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（五十一）记帐凭证报销多，原始凭证数额少。</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（五十二）购进固定资产列进费用，或者将固定资产分解开票记进费用。</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（五十三）在建工程的贷款利息记进管理费用或者财务费用。</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（五十四）财产损失不经税务机关批准，直接在税前扣除。</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（五十五）流动资产损失在地税批复后，直接记进营业外支出，涉及增值税部分不作进项税额转出。</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（五十六）补贴收进不并进计税所得额，直接记进资本公积或盈余公积。</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（五十七）业务费、广告费超支后放在其它科目列支，如：手续费、差旅费、会议费、有害补助等。</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（五十八），未经税务机关批准，在税前列支三新费用（新产品、新技术、新工艺的技术开发费）。</w:t>
      </w:r>
    </w:p>
    <w:p w:rsidR="00ED4FC6" w:rsidRDefault="00ED4FC6" w:rsidP="00ED4FC6">
      <w:pPr>
        <w:autoSpaceDN w:val="0"/>
        <w:spacing w:before="210" w:after="210" w:line="330" w:lineRule="atLeast"/>
        <w:rPr>
          <w:rFonts w:ascii="Tahoma" w:hAnsi="宋体"/>
          <w:color w:val="000000"/>
        </w:rPr>
      </w:pPr>
      <w:r>
        <w:rPr>
          <w:rFonts w:ascii="宋体" w:hAnsi="宋体"/>
          <w:color w:val="000000"/>
        </w:rPr>
        <w:t>（五十九）校办企业、福利企业的证书没有年检，申请减免企业所得税。</w:t>
      </w:r>
    </w:p>
    <w:p w:rsidR="00ED4FC6" w:rsidRDefault="00ED4FC6" w:rsidP="00ED4FC6">
      <w:pPr>
        <w:autoSpaceDN w:val="0"/>
        <w:spacing w:before="210" w:after="210" w:line="330" w:lineRule="atLeast"/>
        <w:rPr>
          <w:rFonts w:ascii="Tahoma" w:hAnsi="宋体"/>
          <w:color w:val="000000"/>
        </w:rPr>
      </w:pPr>
      <w:r>
        <w:rPr>
          <w:rFonts w:ascii="宋体" w:hAnsi="宋体"/>
          <w:color w:val="000000"/>
        </w:rPr>
        <w:t>（六十）税务稽查审增的所得额，属于时间性差异部分，只补税不调帐，造成明征暗退。</w:t>
      </w:r>
    </w:p>
    <w:p w:rsidR="00ED4FC6" w:rsidRDefault="00ED4FC6" w:rsidP="00ED4FC6">
      <w:pPr>
        <w:rPr>
          <w:highlight w:val="yellow"/>
        </w:rPr>
      </w:pPr>
    </w:p>
    <w:p w:rsidR="00ED4FC6" w:rsidRPr="00ED4FC6" w:rsidRDefault="00ED4FC6" w:rsidP="00ED4FC6"/>
    <w:sectPr w:rsidR="00ED4FC6" w:rsidRPr="00ED4F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E65" w:rsidRDefault="00761E65" w:rsidP="00ED4FC6">
      <w:r>
        <w:separator/>
      </w:r>
    </w:p>
  </w:endnote>
  <w:endnote w:type="continuationSeparator" w:id="0">
    <w:p w:rsidR="00761E65" w:rsidRDefault="00761E65" w:rsidP="00ED4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Berlin Sans FB">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等线 Light">
    <w:altName w:val="微软雅黑"/>
    <w:charset w:val="86"/>
    <w:family w:val="auto"/>
    <w:pitch w:val="variable"/>
    <w:sig w:usb0="00000000" w:usb1="38CF7CFA" w:usb2="00000016" w:usb3="00000000" w:csb0="0004000F" w:csb1="00000000"/>
  </w:font>
  <w:font w:name="等线">
    <w:altName w:val="DengXian"/>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E65" w:rsidRDefault="00761E65" w:rsidP="00ED4FC6">
      <w:r>
        <w:separator/>
      </w:r>
    </w:p>
  </w:footnote>
  <w:footnote w:type="continuationSeparator" w:id="0">
    <w:p w:rsidR="00761E65" w:rsidRDefault="00761E65" w:rsidP="00ED4F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BDB"/>
    <w:rsid w:val="001D2B94"/>
    <w:rsid w:val="005F5BDB"/>
    <w:rsid w:val="00761E65"/>
    <w:rsid w:val="007B7A5F"/>
    <w:rsid w:val="00945201"/>
    <w:rsid w:val="009E05C4"/>
    <w:rsid w:val="00A86F45"/>
    <w:rsid w:val="00B0421C"/>
    <w:rsid w:val="00B600DC"/>
    <w:rsid w:val="00D61D43"/>
    <w:rsid w:val="00DB6E10"/>
    <w:rsid w:val="00ED4FC6"/>
    <w:rsid w:val="00ED56DA"/>
    <w:rsid w:val="00EE0C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FC6"/>
    <w:pPr>
      <w:widowControl w:val="0"/>
      <w:jc w:val="both"/>
    </w:pPr>
    <w:rPr>
      <w:kern w:val="2"/>
      <w:sz w:val="21"/>
      <w:szCs w:val="22"/>
    </w:rPr>
  </w:style>
  <w:style w:type="paragraph" w:styleId="1">
    <w:name w:val="heading 1"/>
    <w:basedOn w:val="a"/>
    <w:next w:val="a"/>
    <w:link w:val="1Char"/>
    <w:qFormat/>
    <w:rsid w:val="00945201"/>
    <w:pPr>
      <w:keepLines/>
      <w:pageBreakBefore/>
      <w:widowControl/>
      <w:spacing w:before="3000"/>
      <w:jc w:val="center"/>
      <w:outlineLvl w:val="0"/>
    </w:pPr>
    <w:rPr>
      <w:rFonts w:eastAsia="黑体" w:cs="Berlin Sans FB"/>
      <w:shadow/>
      <w:kern w:val="44"/>
      <w:sz w:val="84"/>
      <w:szCs w:val="20"/>
    </w:rPr>
  </w:style>
  <w:style w:type="paragraph" w:styleId="2">
    <w:name w:val="heading 2"/>
    <w:basedOn w:val="a"/>
    <w:next w:val="a"/>
    <w:link w:val="2Char"/>
    <w:qFormat/>
    <w:rsid w:val="00945201"/>
    <w:pPr>
      <w:keepNext/>
      <w:keepLines/>
      <w:widowControl/>
      <w:spacing w:before="260" w:after="260" w:line="416" w:lineRule="auto"/>
      <w:jc w:val="left"/>
      <w:outlineLvl w:val="1"/>
    </w:pPr>
    <w:rPr>
      <w:rFonts w:ascii="Arial" w:eastAsia="黑体" w:hAnsi="Arial" w:cs="微软雅黑"/>
      <w:b/>
      <w:bCs/>
      <w:kern w:val="0"/>
      <w:sz w:val="32"/>
      <w:szCs w:val="32"/>
    </w:rPr>
  </w:style>
  <w:style w:type="paragraph" w:styleId="3">
    <w:name w:val="heading 3"/>
    <w:basedOn w:val="a"/>
    <w:next w:val="a"/>
    <w:link w:val="3Char"/>
    <w:qFormat/>
    <w:rsid w:val="00945201"/>
    <w:pPr>
      <w:keepNext/>
      <w:keepLines/>
      <w:widowControl/>
      <w:spacing w:before="260" w:after="260" w:line="416" w:lineRule="auto"/>
      <w:jc w:val="left"/>
      <w:outlineLvl w:val="2"/>
    </w:pPr>
    <w:rPr>
      <w:rFonts w:cs="微软雅黑"/>
      <w:b/>
      <w:bCs/>
      <w:kern w:val="0"/>
      <w:sz w:val="32"/>
      <w:szCs w:val="32"/>
    </w:rPr>
  </w:style>
  <w:style w:type="paragraph" w:styleId="4">
    <w:name w:val="heading 4"/>
    <w:basedOn w:val="a"/>
    <w:next w:val="a0"/>
    <w:link w:val="4Char"/>
    <w:qFormat/>
    <w:rsid w:val="00945201"/>
    <w:pPr>
      <w:keepNext/>
      <w:widowControl/>
      <w:spacing w:before="200" w:after="200"/>
      <w:jc w:val="center"/>
      <w:outlineLvl w:val="3"/>
    </w:pPr>
    <w:rPr>
      <w:rFonts w:ascii="宋体" w:cs="微软雅黑"/>
      <w:b/>
      <w:kern w:val="0"/>
      <w:sz w:val="18"/>
      <w:szCs w:val="20"/>
    </w:rPr>
  </w:style>
  <w:style w:type="paragraph" w:styleId="5">
    <w:name w:val="heading 5"/>
    <w:basedOn w:val="a"/>
    <w:next w:val="a0"/>
    <w:link w:val="5Char"/>
    <w:qFormat/>
    <w:rsid w:val="00945201"/>
    <w:pPr>
      <w:keepNext/>
      <w:widowControl/>
      <w:spacing w:before="200" w:after="200"/>
      <w:jc w:val="left"/>
      <w:outlineLvl w:val="4"/>
    </w:pPr>
    <w:rPr>
      <w:rFonts w:ascii="宋体"/>
      <w:b/>
      <w:kern w:val="0"/>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bleParagraph">
    <w:name w:val="Table Paragraph"/>
    <w:basedOn w:val="a"/>
    <w:uiPriority w:val="1"/>
    <w:rsid w:val="00D61D43"/>
  </w:style>
  <w:style w:type="character" w:customStyle="1" w:styleId="1Char">
    <w:name w:val="标题 1 Char"/>
    <w:basedOn w:val="a1"/>
    <w:link w:val="1"/>
    <w:rsid w:val="00D61D43"/>
    <w:rPr>
      <w:rFonts w:eastAsia="黑体" w:cs="Berlin Sans FB"/>
      <w:shadow/>
      <w:kern w:val="44"/>
      <w:sz w:val="84"/>
    </w:rPr>
  </w:style>
  <w:style w:type="character" w:customStyle="1" w:styleId="2Char">
    <w:name w:val="标题 2 Char"/>
    <w:basedOn w:val="a1"/>
    <w:link w:val="2"/>
    <w:rsid w:val="00D61D43"/>
    <w:rPr>
      <w:rFonts w:ascii="Arial" w:eastAsia="黑体" w:hAnsi="Arial" w:cs="微软雅黑"/>
      <w:b/>
      <w:bCs/>
      <w:sz w:val="32"/>
      <w:szCs w:val="32"/>
    </w:rPr>
  </w:style>
  <w:style w:type="character" w:customStyle="1" w:styleId="3Char">
    <w:name w:val="标题 3 Char"/>
    <w:basedOn w:val="a1"/>
    <w:link w:val="3"/>
    <w:rsid w:val="00D61D43"/>
    <w:rPr>
      <w:rFonts w:cs="微软雅黑"/>
      <w:b/>
      <w:bCs/>
      <w:sz w:val="32"/>
      <w:szCs w:val="32"/>
    </w:rPr>
  </w:style>
  <w:style w:type="character" w:customStyle="1" w:styleId="4Char">
    <w:name w:val="标题 4 Char"/>
    <w:basedOn w:val="a1"/>
    <w:link w:val="4"/>
    <w:rsid w:val="00D61D43"/>
    <w:rPr>
      <w:rFonts w:ascii="宋体" w:cs="微软雅黑"/>
      <w:b/>
      <w:sz w:val="18"/>
    </w:rPr>
  </w:style>
  <w:style w:type="paragraph" w:styleId="a4">
    <w:name w:val="Body Text"/>
    <w:basedOn w:val="a"/>
    <w:link w:val="Char"/>
    <w:uiPriority w:val="1"/>
    <w:rsid w:val="00D61D43"/>
    <w:pPr>
      <w:widowControl/>
      <w:jc w:val="left"/>
    </w:pPr>
    <w:rPr>
      <w:rFonts w:cs="微软雅黑"/>
      <w:kern w:val="0"/>
      <w:sz w:val="32"/>
      <w:szCs w:val="32"/>
    </w:rPr>
  </w:style>
  <w:style w:type="character" w:customStyle="1" w:styleId="Char">
    <w:name w:val="正文文本 Char"/>
    <w:basedOn w:val="a1"/>
    <w:link w:val="a4"/>
    <w:uiPriority w:val="1"/>
    <w:rsid w:val="00D61D43"/>
    <w:rPr>
      <w:rFonts w:ascii="微软雅黑" w:eastAsia="微软雅黑" w:hAnsi="微软雅黑" w:cs="微软雅黑"/>
      <w:sz w:val="32"/>
      <w:szCs w:val="32"/>
    </w:rPr>
  </w:style>
  <w:style w:type="paragraph" w:styleId="a5">
    <w:name w:val="List Paragraph"/>
    <w:basedOn w:val="a"/>
    <w:uiPriority w:val="34"/>
    <w:qFormat/>
    <w:rsid w:val="00D61D43"/>
    <w:pPr>
      <w:widowControl/>
      <w:ind w:firstLineChars="200" w:firstLine="420"/>
      <w:jc w:val="left"/>
    </w:pPr>
    <w:rPr>
      <w:rFonts w:cs="微软雅黑"/>
      <w:kern w:val="0"/>
      <w:sz w:val="24"/>
      <w:szCs w:val="24"/>
    </w:rPr>
  </w:style>
  <w:style w:type="paragraph" w:styleId="a0">
    <w:name w:val="Normal Indent"/>
    <w:basedOn w:val="a"/>
    <w:uiPriority w:val="99"/>
    <w:semiHidden/>
    <w:unhideWhenUsed/>
    <w:rsid w:val="00945201"/>
    <w:pPr>
      <w:widowControl/>
      <w:ind w:firstLineChars="200" w:firstLine="420"/>
      <w:jc w:val="left"/>
    </w:pPr>
    <w:rPr>
      <w:rFonts w:cs="微软雅黑"/>
      <w:kern w:val="0"/>
      <w:sz w:val="24"/>
      <w:szCs w:val="24"/>
    </w:rPr>
  </w:style>
  <w:style w:type="character" w:customStyle="1" w:styleId="5Char">
    <w:name w:val="标题 5 Char"/>
    <w:basedOn w:val="a1"/>
    <w:link w:val="5"/>
    <w:rsid w:val="00945201"/>
    <w:rPr>
      <w:rFonts w:ascii="宋体"/>
      <w:b/>
      <w:sz w:val="18"/>
    </w:rPr>
  </w:style>
  <w:style w:type="paragraph" w:styleId="a6">
    <w:name w:val="header"/>
    <w:basedOn w:val="a"/>
    <w:link w:val="Char0"/>
    <w:uiPriority w:val="99"/>
    <w:unhideWhenUsed/>
    <w:rsid w:val="00ED4FC6"/>
    <w:pPr>
      <w:widowControl/>
      <w:pBdr>
        <w:bottom w:val="single" w:sz="6" w:space="1" w:color="auto"/>
      </w:pBdr>
      <w:tabs>
        <w:tab w:val="center" w:pos="4153"/>
        <w:tab w:val="right" w:pos="8306"/>
      </w:tabs>
      <w:snapToGrid w:val="0"/>
      <w:jc w:val="center"/>
    </w:pPr>
    <w:rPr>
      <w:rFonts w:cs="微软雅黑"/>
      <w:kern w:val="0"/>
      <w:sz w:val="18"/>
      <w:szCs w:val="18"/>
    </w:rPr>
  </w:style>
  <w:style w:type="character" w:customStyle="1" w:styleId="Char0">
    <w:name w:val="页眉 Char"/>
    <w:basedOn w:val="a1"/>
    <w:link w:val="a6"/>
    <w:uiPriority w:val="99"/>
    <w:rsid w:val="00ED4FC6"/>
    <w:rPr>
      <w:rFonts w:cs="微软雅黑"/>
      <w:sz w:val="18"/>
      <w:szCs w:val="18"/>
    </w:rPr>
  </w:style>
  <w:style w:type="paragraph" w:styleId="a7">
    <w:name w:val="footer"/>
    <w:basedOn w:val="a"/>
    <w:link w:val="Char1"/>
    <w:uiPriority w:val="99"/>
    <w:unhideWhenUsed/>
    <w:rsid w:val="00ED4FC6"/>
    <w:pPr>
      <w:widowControl/>
      <w:tabs>
        <w:tab w:val="center" w:pos="4153"/>
        <w:tab w:val="right" w:pos="8306"/>
      </w:tabs>
      <w:snapToGrid w:val="0"/>
      <w:jc w:val="left"/>
    </w:pPr>
    <w:rPr>
      <w:rFonts w:cs="微软雅黑"/>
      <w:kern w:val="0"/>
      <w:sz w:val="18"/>
      <w:szCs w:val="18"/>
    </w:rPr>
  </w:style>
  <w:style w:type="character" w:customStyle="1" w:styleId="Char1">
    <w:name w:val="页脚 Char"/>
    <w:basedOn w:val="a1"/>
    <w:link w:val="a7"/>
    <w:uiPriority w:val="99"/>
    <w:rsid w:val="00ED4FC6"/>
    <w:rPr>
      <w:rFonts w:cs="微软雅黑"/>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FC6"/>
    <w:pPr>
      <w:widowControl w:val="0"/>
      <w:jc w:val="both"/>
    </w:pPr>
    <w:rPr>
      <w:kern w:val="2"/>
      <w:sz w:val="21"/>
      <w:szCs w:val="22"/>
    </w:rPr>
  </w:style>
  <w:style w:type="paragraph" w:styleId="1">
    <w:name w:val="heading 1"/>
    <w:basedOn w:val="a"/>
    <w:next w:val="a"/>
    <w:link w:val="1Char"/>
    <w:qFormat/>
    <w:rsid w:val="00945201"/>
    <w:pPr>
      <w:keepLines/>
      <w:pageBreakBefore/>
      <w:widowControl/>
      <w:spacing w:before="3000"/>
      <w:jc w:val="center"/>
      <w:outlineLvl w:val="0"/>
    </w:pPr>
    <w:rPr>
      <w:rFonts w:eastAsia="黑体" w:cs="Berlin Sans FB"/>
      <w:shadow/>
      <w:kern w:val="44"/>
      <w:sz w:val="84"/>
      <w:szCs w:val="20"/>
    </w:rPr>
  </w:style>
  <w:style w:type="paragraph" w:styleId="2">
    <w:name w:val="heading 2"/>
    <w:basedOn w:val="a"/>
    <w:next w:val="a"/>
    <w:link w:val="2Char"/>
    <w:qFormat/>
    <w:rsid w:val="00945201"/>
    <w:pPr>
      <w:keepNext/>
      <w:keepLines/>
      <w:widowControl/>
      <w:spacing w:before="260" w:after="260" w:line="416" w:lineRule="auto"/>
      <w:jc w:val="left"/>
      <w:outlineLvl w:val="1"/>
    </w:pPr>
    <w:rPr>
      <w:rFonts w:ascii="Arial" w:eastAsia="黑体" w:hAnsi="Arial" w:cs="微软雅黑"/>
      <w:b/>
      <w:bCs/>
      <w:kern w:val="0"/>
      <w:sz w:val="32"/>
      <w:szCs w:val="32"/>
    </w:rPr>
  </w:style>
  <w:style w:type="paragraph" w:styleId="3">
    <w:name w:val="heading 3"/>
    <w:basedOn w:val="a"/>
    <w:next w:val="a"/>
    <w:link w:val="3Char"/>
    <w:qFormat/>
    <w:rsid w:val="00945201"/>
    <w:pPr>
      <w:keepNext/>
      <w:keepLines/>
      <w:widowControl/>
      <w:spacing w:before="260" w:after="260" w:line="416" w:lineRule="auto"/>
      <w:jc w:val="left"/>
      <w:outlineLvl w:val="2"/>
    </w:pPr>
    <w:rPr>
      <w:rFonts w:cs="微软雅黑"/>
      <w:b/>
      <w:bCs/>
      <w:kern w:val="0"/>
      <w:sz w:val="32"/>
      <w:szCs w:val="32"/>
    </w:rPr>
  </w:style>
  <w:style w:type="paragraph" w:styleId="4">
    <w:name w:val="heading 4"/>
    <w:basedOn w:val="a"/>
    <w:next w:val="a0"/>
    <w:link w:val="4Char"/>
    <w:qFormat/>
    <w:rsid w:val="00945201"/>
    <w:pPr>
      <w:keepNext/>
      <w:widowControl/>
      <w:spacing w:before="200" w:after="200"/>
      <w:jc w:val="center"/>
      <w:outlineLvl w:val="3"/>
    </w:pPr>
    <w:rPr>
      <w:rFonts w:ascii="宋体" w:cs="微软雅黑"/>
      <w:b/>
      <w:kern w:val="0"/>
      <w:sz w:val="18"/>
      <w:szCs w:val="20"/>
    </w:rPr>
  </w:style>
  <w:style w:type="paragraph" w:styleId="5">
    <w:name w:val="heading 5"/>
    <w:basedOn w:val="a"/>
    <w:next w:val="a0"/>
    <w:link w:val="5Char"/>
    <w:qFormat/>
    <w:rsid w:val="00945201"/>
    <w:pPr>
      <w:keepNext/>
      <w:widowControl/>
      <w:spacing w:before="200" w:after="200"/>
      <w:jc w:val="left"/>
      <w:outlineLvl w:val="4"/>
    </w:pPr>
    <w:rPr>
      <w:rFonts w:ascii="宋体"/>
      <w:b/>
      <w:kern w:val="0"/>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bleParagraph">
    <w:name w:val="Table Paragraph"/>
    <w:basedOn w:val="a"/>
    <w:uiPriority w:val="1"/>
    <w:rsid w:val="00D61D43"/>
  </w:style>
  <w:style w:type="character" w:customStyle="1" w:styleId="1Char">
    <w:name w:val="标题 1 Char"/>
    <w:basedOn w:val="a1"/>
    <w:link w:val="1"/>
    <w:rsid w:val="00D61D43"/>
    <w:rPr>
      <w:rFonts w:eastAsia="黑体" w:cs="Berlin Sans FB"/>
      <w:shadow/>
      <w:kern w:val="44"/>
      <w:sz w:val="84"/>
    </w:rPr>
  </w:style>
  <w:style w:type="character" w:customStyle="1" w:styleId="2Char">
    <w:name w:val="标题 2 Char"/>
    <w:basedOn w:val="a1"/>
    <w:link w:val="2"/>
    <w:rsid w:val="00D61D43"/>
    <w:rPr>
      <w:rFonts w:ascii="Arial" w:eastAsia="黑体" w:hAnsi="Arial" w:cs="微软雅黑"/>
      <w:b/>
      <w:bCs/>
      <w:sz w:val="32"/>
      <w:szCs w:val="32"/>
    </w:rPr>
  </w:style>
  <w:style w:type="character" w:customStyle="1" w:styleId="3Char">
    <w:name w:val="标题 3 Char"/>
    <w:basedOn w:val="a1"/>
    <w:link w:val="3"/>
    <w:rsid w:val="00D61D43"/>
    <w:rPr>
      <w:rFonts w:cs="微软雅黑"/>
      <w:b/>
      <w:bCs/>
      <w:sz w:val="32"/>
      <w:szCs w:val="32"/>
    </w:rPr>
  </w:style>
  <w:style w:type="character" w:customStyle="1" w:styleId="4Char">
    <w:name w:val="标题 4 Char"/>
    <w:basedOn w:val="a1"/>
    <w:link w:val="4"/>
    <w:rsid w:val="00D61D43"/>
    <w:rPr>
      <w:rFonts w:ascii="宋体" w:cs="微软雅黑"/>
      <w:b/>
      <w:sz w:val="18"/>
    </w:rPr>
  </w:style>
  <w:style w:type="paragraph" w:styleId="a4">
    <w:name w:val="Body Text"/>
    <w:basedOn w:val="a"/>
    <w:link w:val="Char"/>
    <w:uiPriority w:val="1"/>
    <w:rsid w:val="00D61D43"/>
    <w:pPr>
      <w:widowControl/>
      <w:jc w:val="left"/>
    </w:pPr>
    <w:rPr>
      <w:rFonts w:cs="微软雅黑"/>
      <w:kern w:val="0"/>
      <w:sz w:val="32"/>
      <w:szCs w:val="32"/>
    </w:rPr>
  </w:style>
  <w:style w:type="character" w:customStyle="1" w:styleId="Char">
    <w:name w:val="正文文本 Char"/>
    <w:basedOn w:val="a1"/>
    <w:link w:val="a4"/>
    <w:uiPriority w:val="1"/>
    <w:rsid w:val="00D61D43"/>
    <w:rPr>
      <w:rFonts w:ascii="微软雅黑" w:eastAsia="微软雅黑" w:hAnsi="微软雅黑" w:cs="微软雅黑"/>
      <w:sz w:val="32"/>
      <w:szCs w:val="32"/>
    </w:rPr>
  </w:style>
  <w:style w:type="paragraph" w:styleId="a5">
    <w:name w:val="List Paragraph"/>
    <w:basedOn w:val="a"/>
    <w:uiPriority w:val="34"/>
    <w:qFormat/>
    <w:rsid w:val="00D61D43"/>
    <w:pPr>
      <w:widowControl/>
      <w:ind w:firstLineChars="200" w:firstLine="420"/>
      <w:jc w:val="left"/>
    </w:pPr>
    <w:rPr>
      <w:rFonts w:cs="微软雅黑"/>
      <w:kern w:val="0"/>
      <w:sz w:val="24"/>
      <w:szCs w:val="24"/>
    </w:rPr>
  </w:style>
  <w:style w:type="paragraph" w:styleId="a0">
    <w:name w:val="Normal Indent"/>
    <w:basedOn w:val="a"/>
    <w:uiPriority w:val="99"/>
    <w:semiHidden/>
    <w:unhideWhenUsed/>
    <w:rsid w:val="00945201"/>
    <w:pPr>
      <w:widowControl/>
      <w:ind w:firstLineChars="200" w:firstLine="420"/>
      <w:jc w:val="left"/>
    </w:pPr>
    <w:rPr>
      <w:rFonts w:cs="微软雅黑"/>
      <w:kern w:val="0"/>
      <w:sz w:val="24"/>
      <w:szCs w:val="24"/>
    </w:rPr>
  </w:style>
  <w:style w:type="character" w:customStyle="1" w:styleId="5Char">
    <w:name w:val="标题 5 Char"/>
    <w:basedOn w:val="a1"/>
    <w:link w:val="5"/>
    <w:rsid w:val="00945201"/>
    <w:rPr>
      <w:rFonts w:ascii="宋体"/>
      <w:b/>
      <w:sz w:val="18"/>
    </w:rPr>
  </w:style>
  <w:style w:type="paragraph" w:styleId="a6">
    <w:name w:val="header"/>
    <w:basedOn w:val="a"/>
    <w:link w:val="Char0"/>
    <w:uiPriority w:val="99"/>
    <w:unhideWhenUsed/>
    <w:rsid w:val="00ED4FC6"/>
    <w:pPr>
      <w:widowControl/>
      <w:pBdr>
        <w:bottom w:val="single" w:sz="6" w:space="1" w:color="auto"/>
      </w:pBdr>
      <w:tabs>
        <w:tab w:val="center" w:pos="4153"/>
        <w:tab w:val="right" w:pos="8306"/>
      </w:tabs>
      <w:snapToGrid w:val="0"/>
      <w:jc w:val="center"/>
    </w:pPr>
    <w:rPr>
      <w:rFonts w:cs="微软雅黑"/>
      <w:kern w:val="0"/>
      <w:sz w:val="18"/>
      <w:szCs w:val="18"/>
    </w:rPr>
  </w:style>
  <w:style w:type="character" w:customStyle="1" w:styleId="Char0">
    <w:name w:val="页眉 Char"/>
    <w:basedOn w:val="a1"/>
    <w:link w:val="a6"/>
    <w:uiPriority w:val="99"/>
    <w:rsid w:val="00ED4FC6"/>
    <w:rPr>
      <w:rFonts w:cs="微软雅黑"/>
      <w:sz w:val="18"/>
      <w:szCs w:val="18"/>
    </w:rPr>
  </w:style>
  <w:style w:type="paragraph" w:styleId="a7">
    <w:name w:val="footer"/>
    <w:basedOn w:val="a"/>
    <w:link w:val="Char1"/>
    <w:uiPriority w:val="99"/>
    <w:unhideWhenUsed/>
    <w:rsid w:val="00ED4FC6"/>
    <w:pPr>
      <w:widowControl/>
      <w:tabs>
        <w:tab w:val="center" w:pos="4153"/>
        <w:tab w:val="right" w:pos="8306"/>
      </w:tabs>
      <w:snapToGrid w:val="0"/>
      <w:jc w:val="left"/>
    </w:pPr>
    <w:rPr>
      <w:rFonts w:cs="微软雅黑"/>
      <w:kern w:val="0"/>
      <w:sz w:val="18"/>
      <w:szCs w:val="18"/>
    </w:rPr>
  </w:style>
  <w:style w:type="character" w:customStyle="1" w:styleId="Char1">
    <w:name w:val="页脚 Char"/>
    <w:basedOn w:val="a1"/>
    <w:link w:val="a7"/>
    <w:uiPriority w:val="99"/>
    <w:rsid w:val="00ED4FC6"/>
    <w:rPr>
      <w:rFonts w:cs="微软雅黑"/>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3</cp:revision>
  <dcterms:created xsi:type="dcterms:W3CDTF">2017-09-21T07:17:00Z</dcterms:created>
  <dcterms:modified xsi:type="dcterms:W3CDTF">2017-11-23T02:16:00Z</dcterms:modified>
</cp:coreProperties>
</file>