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思源黑体 Regular" w:hAnsi="思源黑体 Regular" w:eastAsia="思源黑体 Regular" w:cs="思源黑体 Regular"/>
          <w:sz w:val="21"/>
          <w:szCs w:val="21"/>
        </w:rPr>
      </w:pPr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t>关于报考人员出现同分情况的处理</w:t>
      </w:r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t>　　在资格审查阶段，出现报考人员笔试成绩相同，无法确定入围人选时，笔试成绩相同的人员均可入围；在体检、考察、递补、确定拟录用人员阶段，如报考人员综合成绩相同，首先按职位规定的“优先”条件确定入围人选。若无法确定，则以行政职业能力测验分数从高到</w:t>
      </w:r>
      <w:bookmarkStart w:id="0" w:name="_GoBack"/>
      <w:bookmarkEnd w:id="0"/>
      <w:r>
        <w:rPr>
          <w:rFonts w:hint="eastAsia" w:ascii="思源黑体 Regular" w:hAnsi="思源黑体 Regular" w:eastAsia="思源黑体 Regular" w:cs="思源黑体 Regular"/>
          <w:i w:val="0"/>
          <w:caps w:val="0"/>
          <w:color w:val="333333"/>
          <w:spacing w:val="0"/>
          <w:sz w:val="21"/>
          <w:szCs w:val="21"/>
          <w:shd w:val="clear" w:fill="FFFFFF"/>
        </w:rPr>
        <w:t>低的顺序确定入围人选。若行政职业能力测验分数也相同，则按笔试总成绩从高到低的顺序确定入围人选。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思源黑体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思源黑体 Medium">
    <w:panose1 w:val="020B0600000000000000"/>
    <w:charset w:val="86"/>
    <w:family w:val="auto"/>
    <w:pitch w:val="default"/>
    <w:sig w:usb0="30000003" w:usb1="2BDF3C10" w:usb2="00000016" w:usb3="00000000" w:csb0="602E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00FC7"/>
    <w:rsid w:val="1B53252F"/>
    <w:rsid w:val="318F4275"/>
    <w:rsid w:val="33F46F08"/>
    <w:rsid w:val="3CC00FC7"/>
    <w:rsid w:val="5669233A"/>
    <w:rsid w:val="5842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2020-06-17T08:55:00Z</dcterms:created>
  <dc:creator>gaodun</dc:creator>
  <cp:lastModifiedBy>gaodun</cp:lastModifiedBy>
  <dcterms:modified xsi:type="dcterms:W3CDTF">2020-06-17T09:06:06Z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