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lang w:eastAsia="zh-CN"/>
        </w:rPr>
      </w:pPr>
      <w:bookmarkStart w:id="0" w:name="_GoBack"/>
      <w:r>
        <w:rPr>
          <w:rFonts w:hint="eastAsia" w:ascii="思源黑体 Regular" w:hAnsi="思源黑体 Regular" w:eastAsia="思源黑体 Regular" w:cs="思源黑体 Regular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笔试注意问题</w:t>
      </w:r>
      <w:bookmarkEnd w:id="0"/>
      <w:r>
        <w:rPr>
          <w:rFonts w:hint="eastAsia" w:ascii="思源黑体 Regular" w:hAnsi="思源黑体 Regular" w:eastAsia="思源黑体 Regular" w:cs="思源黑体 Regular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思源黑体 Regular" w:hAnsi="思源黑体 Regular" w:eastAsia="思源黑体 Regular" w:cs="思源黑体 Regular"/>
          <w:i w:val="0"/>
          <w:caps w:val="0"/>
          <w:color w:val="333333"/>
          <w:spacing w:val="0"/>
          <w:sz w:val="21"/>
          <w:szCs w:val="21"/>
          <w:shd w:val="clear" w:fill="FFFFFF"/>
        </w:rPr>
        <w:t>　　参加行政职业能力测验考试时，考生须按要求将题本上的条形码贴到答题卡相应位置，否则，该科目考试成绩为零分。行政职业能力测验一律用2B铅笔在答题卡上填涂作答，申论一律用黑色字迹的钢笔、签字笔作答。报考人员自备橡皮、2B铅笔、黑色字迹的钢笔、签字笔</w:t>
      </w:r>
      <w:r>
        <w:rPr>
          <w:rFonts w:hint="eastAsia" w:ascii="思源黑体 Regular" w:hAnsi="思源黑体 Regular" w:eastAsia="思源黑体 Regular" w:cs="思源黑体 Regular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思源黑体 Medium">
    <w:panose1 w:val="020B0600000000000000"/>
    <w:charset w:val="86"/>
    <w:family w:val="auto"/>
    <w:pitch w:val="default"/>
    <w:sig w:usb0="3000000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10845"/>
    <w:rsid w:val="6AD318F3"/>
    <w:rsid w:val="74810845"/>
    <w:rsid w:val="75C46CD3"/>
    <w:rsid w:val="78E9261A"/>
    <w:rsid w:val="7996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2020-06-17T08:51:00Z</dcterms:created>
  <dc:creator>gaodun</dc:creator>
  <cp:lastModifiedBy>gaodun</cp:lastModifiedBy>
  <dcterms:modified xsi:type="dcterms:W3CDTF">2020-06-17T09:10:18Z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