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思源黑体 Regular" w:hAnsi="思源黑体 Regular" w:eastAsia="思源黑体 Regular" w:cs="思源黑体 Regular"/>
          <w:sz w:val="21"/>
          <w:szCs w:val="21"/>
        </w:rPr>
      </w:pPr>
      <w:bookmarkStart w:id="0" w:name="_GoBack"/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t>多专业、多学历人员如何选择报考职位</w:t>
      </w:r>
      <w:bookmarkEnd w:id="0"/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t>？</w:t>
      </w: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思源黑体 Regular" w:hAnsi="思源黑体 Regular" w:eastAsia="思源黑体 Regular" w:cs="思源黑体 Regular"/>
          <w:i w:val="0"/>
          <w:caps w:val="0"/>
          <w:color w:val="333333"/>
          <w:spacing w:val="0"/>
          <w:sz w:val="21"/>
          <w:szCs w:val="21"/>
          <w:shd w:val="clear" w:fill="FFFFFF"/>
        </w:rPr>
        <w:t>　　高学历人员可以报考相对低学历要求的职位，但须符合该职位所需学历对应的专业要求，如某考生具有法学专业的本科学历和经济学专业的硕士研究生学历，那么他可以报考要求法学专业本科学历的职位，或者报考要求经济学专业本科学历的职位，但不能报考要求法律专业硕士研究生学历的职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思源黑体 Regular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思源黑体 Medium">
    <w:panose1 w:val="020B0600000000000000"/>
    <w:charset w:val="86"/>
    <w:family w:val="auto"/>
    <w:pitch w:val="default"/>
    <w:sig w:usb0="3000000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00FC7"/>
    <w:rsid w:val="1B53252F"/>
    <w:rsid w:val="318F4275"/>
    <w:rsid w:val="33F46F08"/>
    <w:rsid w:val="3CC00FC7"/>
    <w:rsid w:val="5669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2020-06-17T08:55:00Z</dcterms:created>
  <dc:creator>gaodun</dc:creator>
  <cp:lastModifiedBy>gaodun</cp:lastModifiedBy>
  <dcterms:modified xsi:type="dcterms:W3CDTF">2020-06-17T09:03:34Z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