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</w:pPr>
      <w:r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  <w:t>公考分值分布</w:t>
      </w:r>
    </w:p>
    <w:p>
      <w:pPr>
        <w:jc w:val="center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</w:pPr>
      <w:r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  <w:t>绝大多数省份行测考试，包括国考在内，是不会给到各</w:t>
      </w:r>
      <w:bookmarkStart w:id="0" w:name="_GoBack"/>
      <w:bookmarkEnd w:id="0"/>
      <w:r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  <w:t>题分值的，不过基本上来说，每个题型的分值还是不太一样的，会根据题目的难易程度来定。当然，每年的评分标准与分值分布规则，也会随着试卷难易有着一定程度的变化与调整。其实对于我们来说，不断提升每个板块的正确率才是关键，脚踏实地去努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思源黑体 Regular" w:hAnsi="思源黑体 Regular" w:eastAsia="思源黑体 Regular" w:cs="思源黑体 Regular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48910" cy="3313430"/>
            <wp:effectExtent l="0" t="0" r="8890" b="127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3313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34491"/>
    <w:rsid w:val="1D53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2020-06-17T05:32:00Z</dcterms:created>
  <dc:creator>gaodun</dc:creator>
  <cp:lastModifiedBy>gaodun</cp:lastModifiedBy>
  <dcterms:modified xsi:type="dcterms:W3CDTF">2020-06-17T05:48:35Z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