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475" w:type="dxa"/>
        <w:tblInd w:w="93" w:type="dxa"/>
        <w:tblLayout w:type="autofit"/>
        <w:tblCellMar>
          <w:top w:w="0" w:type="dxa"/>
          <w:left w:w="108" w:type="dxa"/>
          <w:bottom w:w="0" w:type="dxa"/>
          <w:right w:w="108" w:type="dxa"/>
        </w:tblCellMar>
      </w:tblPr>
      <w:tblGrid>
        <w:gridCol w:w="2925"/>
        <w:gridCol w:w="810"/>
        <w:gridCol w:w="2385"/>
        <w:gridCol w:w="8355"/>
      </w:tblGrid>
      <w:tr>
        <w:tblPrEx>
          <w:tblCellMar>
            <w:top w:w="0" w:type="dxa"/>
            <w:left w:w="108" w:type="dxa"/>
            <w:bottom w:w="0" w:type="dxa"/>
            <w:right w:w="108" w:type="dxa"/>
          </w:tblCellMar>
        </w:tblPrEx>
        <w:trPr>
          <w:trHeight w:val="435" w:hRule="atLeast"/>
        </w:trPr>
        <w:tc>
          <w:tcPr>
            <w:tcW w:w="2925" w:type="dxa"/>
            <w:tcBorders>
              <w:top w:val="nil"/>
              <w:left w:val="nil"/>
              <w:bottom w:val="nil"/>
              <w:right w:val="nil"/>
            </w:tcBorders>
            <w:noWrap w:val="0"/>
            <w:vAlign w:val="center"/>
          </w:tcPr>
          <w:p>
            <w:pPr>
              <w:widowControl/>
              <w:jc w:val="left"/>
              <w:textAlignment w:val="center"/>
              <w:rPr>
                <w:rFonts w:ascii="Times New Roman" w:hAnsi="Times New Roman"/>
                <w:color w:val="000000"/>
                <w:sz w:val="28"/>
                <w:szCs w:val="28"/>
              </w:rPr>
            </w:pPr>
            <w:r>
              <w:rPr>
                <w:rFonts w:ascii="Times New Roman" w:hAnsi="Times New Roman"/>
                <w:color w:val="000000"/>
                <w:kern w:val="0"/>
                <w:sz w:val="28"/>
                <w:szCs w:val="28"/>
                <w:lang w:bidi="ar"/>
              </w:rPr>
              <w:t>附件1</w:t>
            </w:r>
          </w:p>
        </w:tc>
        <w:tc>
          <w:tcPr>
            <w:tcW w:w="810" w:type="dxa"/>
            <w:tcBorders>
              <w:top w:val="nil"/>
              <w:left w:val="nil"/>
              <w:bottom w:val="nil"/>
              <w:right w:val="nil"/>
            </w:tcBorders>
            <w:noWrap w:val="0"/>
            <w:vAlign w:val="center"/>
          </w:tcPr>
          <w:p>
            <w:pPr>
              <w:jc w:val="center"/>
              <w:rPr>
                <w:rFonts w:ascii="Times New Roman" w:hAnsi="Times New Roman" w:eastAsia="等线"/>
                <w:color w:val="000000"/>
                <w:sz w:val="22"/>
              </w:rPr>
            </w:pPr>
          </w:p>
        </w:tc>
        <w:tc>
          <w:tcPr>
            <w:tcW w:w="2385" w:type="dxa"/>
            <w:tcBorders>
              <w:top w:val="nil"/>
              <w:left w:val="nil"/>
              <w:bottom w:val="nil"/>
              <w:right w:val="nil"/>
            </w:tcBorders>
            <w:noWrap w:val="0"/>
            <w:vAlign w:val="center"/>
          </w:tcPr>
          <w:p>
            <w:pPr>
              <w:jc w:val="center"/>
              <w:rPr>
                <w:rFonts w:ascii="Times New Roman" w:hAnsi="Times New Roman" w:eastAsia="等线"/>
                <w:color w:val="000000"/>
                <w:sz w:val="22"/>
              </w:rPr>
            </w:pPr>
          </w:p>
        </w:tc>
        <w:tc>
          <w:tcPr>
            <w:tcW w:w="8355" w:type="dxa"/>
            <w:tcBorders>
              <w:top w:val="nil"/>
              <w:left w:val="nil"/>
              <w:bottom w:val="nil"/>
              <w:right w:val="nil"/>
            </w:tcBorders>
            <w:noWrap w:val="0"/>
            <w:vAlign w:val="center"/>
          </w:tcPr>
          <w:p>
            <w:pPr>
              <w:jc w:val="center"/>
              <w:rPr>
                <w:rFonts w:ascii="Times New Roman" w:hAnsi="Times New Roman" w:eastAsia="等线"/>
                <w:color w:val="000000"/>
                <w:sz w:val="22"/>
              </w:rPr>
            </w:pPr>
          </w:p>
        </w:tc>
      </w:tr>
    </w:tbl>
    <w:p>
      <w:pPr>
        <w:jc w:val="center"/>
        <w:rPr>
          <w:rFonts w:ascii="Times New Roman" w:hAnsi="Times New Roman"/>
        </w:rPr>
      </w:pPr>
      <w:r>
        <w:rPr>
          <w:rFonts w:hint="eastAsia" w:ascii="Times New Roman" w:hAnsi="Times New Roman" w:eastAsia="黑体"/>
          <w:sz w:val="32"/>
          <w:szCs w:val="32"/>
          <w:lang w:val="en-US" w:eastAsia="zh-CN"/>
        </w:rPr>
        <w:t>江东控股集团有限责任公司</w:t>
      </w:r>
      <w:r>
        <w:rPr>
          <w:rFonts w:ascii="Times New Roman" w:hAnsi="Times New Roman" w:eastAsia="黑体"/>
          <w:sz w:val="32"/>
          <w:szCs w:val="32"/>
        </w:rPr>
        <w:t>2023年招聘岗位计划表</w:t>
      </w:r>
    </w:p>
    <w:tbl>
      <w:tblPr>
        <w:tblStyle w:val="4"/>
        <w:tblpPr w:leftFromText="180" w:rightFromText="180" w:vertAnchor="page" w:horzAnchor="page" w:tblpX="727" w:tblpY="3031"/>
        <w:tblW w:w="15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76"/>
        <w:gridCol w:w="770"/>
        <w:gridCol w:w="1199"/>
        <w:gridCol w:w="4736"/>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noWrap w:val="0"/>
            <w:vAlign w:val="center"/>
          </w:tcPr>
          <w:p>
            <w:pPr>
              <w:widowControl/>
              <w:autoSpaceDE w:val="0"/>
              <w:spacing w:line="360" w:lineRule="exact"/>
              <w:jc w:val="center"/>
              <w:textAlignment w:val="center"/>
              <w:rPr>
                <w:rFonts w:ascii="Times New Roman" w:hAnsi="Times New Roman" w:eastAsia="等线"/>
                <w:color w:val="000000"/>
                <w:sz w:val="24"/>
                <w:szCs w:val="24"/>
                <w:highlight w:val="none"/>
              </w:rPr>
            </w:pPr>
            <w:r>
              <w:rPr>
                <w:rStyle w:val="6"/>
                <w:rFonts w:hint="default" w:ascii="Times New Roman" w:hAnsi="Times New Roman"/>
                <w:highlight w:val="none"/>
              </w:rPr>
              <w:t>序号</w:t>
            </w:r>
          </w:p>
        </w:tc>
        <w:tc>
          <w:tcPr>
            <w:tcW w:w="1676" w:type="dxa"/>
            <w:noWrap w:val="0"/>
            <w:vAlign w:val="center"/>
          </w:tcPr>
          <w:p>
            <w:pPr>
              <w:widowControl/>
              <w:autoSpaceDE w:val="0"/>
              <w:spacing w:line="360" w:lineRule="exact"/>
              <w:jc w:val="center"/>
              <w:textAlignment w:val="center"/>
              <w:rPr>
                <w:rFonts w:ascii="Times New Roman" w:hAnsi="Times New Roman" w:eastAsia="等线"/>
                <w:color w:val="000000"/>
                <w:sz w:val="24"/>
                <w:szCs w:val="24"/>
                <w:highlight w:val="none"/>
              </w:rPr>
            </w:pPr>
            <w:r>
              <w:rPr>
                <w:rStyle w:val="6"/>
                <w:rFonts w:hint="default" w:ascii="Times New Roman" w:hAnsi="Times New Roman"/>
                <w:highlight w:val="none"/>
              </w:rPr>
              <w:t>岗位名称</w:t>
            </w:r>
          </w:p>
        </w:tc>
        <w:tc>
          <w:tcPr>
            <w:tcW w:w="770" w:type="dxa"/>
            <w:noWrap w:val="0"/>
            <w:vAlign w:val="center"/>
          </w:tcPr>
          <w:p>
            <w:pPr>
              <w:widowControl/>
              <w:autoSpaceDE w:val="0"/>
              <w:spacing w:line="360" w:lineRule="exact"/>
              <w:jc w:val="center"/>
              <w:textAlignment w:val="center"/>
              <w:rPr>
                <w:rFonts w:ascii="Times New Roman" w:hAnsi="Times New Roman" w:eastAsia="等线"/>
                <w:color w:val="000000"/>
                <w:sz w:val="24"/>
                <w:szCs w:val="24"/>
                <w:highlight w:val="none"/>
              </w:rPr>
            </w:pPr>
            <w:r>
              <w:rPr>
                <w:rStyle w:val="6"/>
                <w:rFonts w:hint="default" w:ascii="Times New Roman" w:hAnsi="Times New Roman"/>
                <w:highlight w:val="none"/>
              </w:rPr>
              <w:t>人数</w:t>
            </w:r>
          </w:p>
        </w:tc>
        <w:tc>
          <w:tcPr>
            <w:tcW w:w="1199" w:type="dxa"/>
            <w:noWrap w:val="0"/>
            <w:vAlign w:val="center"/>
          </w:tcPr>
          <w:p>
            <w:pPr>
              <w:widowControl/>
              <w:autoSpaceDE w:val="0"/>
              <w:spacing w:line="360" w:lineRule="exact"/>
              <w:jc w:val="center"/>
              <w:textAlignment w:val="center"/>
              <w:rPr>
                <w:rFonts w:ascii="Times New Roman" w:hAnsi="Times New Roman" w:eastAsia="等线"/>
                <w:color w:val="000000"/>
                <w:sz w:val="24"/>
                <w:szCs w:val="24"/>
                <w:highlight w:val="none"/>
              </w:rPr>
            </w:pPr>
            <w:r>
              <w:rPr>
                <w:rStyle w:val="6"/>
                <w:rFonts w:hint="default" w:ascii="Times New Roman" w:hAnsi="Times New Roman"/>
                <w:highlight w:val="none"/>
              </w:rPr>
              <w:t>年龄要求</w:t>
            </w:r>
          </w:p>
        </w:tc>
        <w:tc>
          <w:tcPr>
            <w:tcW w:w="4736" w:type="dxa"/>
            <w:noWrap w:val="0"/>
            <w:vAlign w:val="center"/>
          </w:tcPr>
          <w:p>
            <w:pPr>
              <w:widowControl/>
              <w:autoSpaceDE w:val="0"/>
              <w:spacing w:line="360" w:lineRule="exact"/>
              <w:jc w:val="center"/>
              <w:textAlignment w:val="center"/>
              <w:rPr>
                <w:rFonts w:ascii="Times New Roman" w:hAnsi="Times New Roman" w:eastAsia="等线"/>
                <w:color w:val="000000"/>
                <w:sz w:val="24"/>
                <w:szCs w:val="24"/>
                <w:highlight w:val="none"/>
              </w:rPr>
            </w:pPr>
            <w:r>
              <w:rPr>
                <w:rStyle w:val="6"/>
                <w:rFonts w:hint="default" w:ascii="Times New Roman" w:hAnsi="Times New Roman"/>
                <w:highlight w:val="none"/>
              </w:rPr>
              <w:t>岗位职责</w:t>
            </w:r>
          </w:p>
        </w:tc>
        <w:tc>
          <w:tcPr>
            <w:tcW w:w="6518" w:type="dxa"/>
            <w:noWrap w:val="0"/>
            <w:vAlign w:val="center"/>
          </w:tcPr>
          <w:p>
            <w:pPr>
              <w:widowControl/>
              <w:autoSpaceDE w:val="0"/>
              <w:spacing w:line="360" w:lineRule="exact"/>
              <w:jc w:val="center"/>
              <w:textAlignment w:val="center"/>
              <w:rPr>
                <w:rFonts w:ascii="Times New Roman" w:hAnsi="Times New Roman" w:eastAsia="等线"/>
                <w:color w:val="000000"/>
                <w:sz w:val="24"/>
                <w:szCs w:val="24"/>
                <w:highlight w:val="none"/>
              </w:rPr>
            </w:pPr>
            <w:r>
              <w:rPr>
                <w:rStyle w:val="6"/>
                <w:rFonts w:hint="default" w:ascii="Times New Roman" w:hAnsi="Times New Roman"/>
                <w:highlight w:val="none"/>
              </w:rPr>
              <w:t>专业及岗位其他要求（如：工作经历、经验）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750" w:type="dxa"/>
            <w:noWrap/>
            <w:vAlign w:val="center"/>
          </w:tcPr>
          <w:p>
            <w:pPr>
              <w:widowControl/>
              <w:autoSpaceDE w:val="0"/>
              <w:spacing w:line="360" w:lineRule="exact"/>
              <w:jc w:val="center"/>
              <w:textAlignment w:val="center"/>
              <w:rPr>
                <w:rFonts w:ascii="Times New Roman" w:hAnsi="Times New Roman" w:eastAsia="等线"/>
                <w:color w:val="000000"/>
                <w:kern w:val="0"/>
                <w:sz w:val="22"/>
                <w:highlight w:val="none"/>
              </w:rPr>
            </w:pPr>
            <w:r>
              <w:rPr>
                <w:rFonts w:hint="eastAsia" w:ascii="Times New Roman" w:hAnsi="Times New Roman" w:eastAsia="等线"/>
                <w:color w:val="000000"/>
                <w:kern w:val="0"/>
                <w:sz w:val="22"/>
                <w:highlight w:val="none"/>
                <w:lang w:val="en-US" w:eastAsia="zh-CN"/>
              </w:rPr>
              <w:t>1</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cs="Times New Roman"/>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财务融资岗</w:t>
            </w:r>
          </w:p>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（江东控股集团）</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olor w:val="000000"/>
                <w:kern w:val="0"/>
                <w:sz w:val="24"/>
                <w:szCs w:val="24"/>
                <w:highlight w:val="none"/>
                <w:lang w:val="en-US" w:eastAsia="zh-CN"/>
              </w:rPr>
              <w:t>2</w:t>
            </w:r>
          </w:p>
        </w:tc>
        <w:tc>
          <w:tcPr>
            <w:tcW w:w="1199" w:type="dxa"/>
            <w:noWrap w:val="0"/>
            <w:vAlign w:val="center"/>
          </w:tcPr>
          <w:p>
            <w:pPr>
              <w:widowControl/>
              <w:autoSpaceDE w:val="0"/>
              <w:spacing w:line="360" w:lineRule="exact"/>
              <w:jc w:val="center"/>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1、负责融资项目的谋划和对接，根据计划安排做好资金的筹集工作；</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2、制定融资计划，合理安排资金筹集规</w:t>
            </w:r>
            <w:bookmarkStart w:id="0" w:name="_GoBack"/>
            <w:bookmarkEnd w:id="0"/>
            <w:r>
              <w:rPr>
                <w:rFonts w:hint="eastAsia" w:ascii="Times New Roman" w:hAnsi="Times New Roman" w:eastAsia="等线" w:cs="Times New Roman"/>
                <w:szCs w:val="21"/>
                <w:highlight w:val="none"/>
                <w:lang w:val="en-US" w:eastAsia="zh-CN"/>
              </w:rPr>
              <w:t>划和成本控制；</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3、熟悉各类融资产品（贷款、债券等），与金融机构开展项目对接和沟通洽谈，并进行研究分析和融资合作；</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4、负责融资项目的维护和日常管理，做好信用评级工作和信息披露；</w:t>
            </w:r>
          </w:p>
          <w:p>
            <w:pPr>
              <w:widowControl/>
              <w:numPr>
                <w:ilvl w:val="0"/>
                <w:numId w:val="0"/>
              </w:numPr>
              <w:autoSpaceDE w:val="0"/>
              <w:spacing w:line="360" w:lineRule="exact"/>
              <w:ind w:left="0" w:leftChars="0" w:firstLine="0" w:firstLineChars="0"/>
              <w:jc w:val="left"/>
              <w:textAlignment w:val="center"/>
              <w:rPr>
                <w:rFonts w:hint="eastAsia" w:ascii="Times New Roman" w:hAnsi="Times New Roman" w:eastAsia="等线"/>
                <w:szCs w:val="21"/>
                <w:highlight w:val="none"/>
              </w:rPr>
            </w:pPr>
            <w:r>
              <w:rPr>
                <w:rFonts w:hint="eastAsia" w:ascii="Times New Roman" w:hAnsi="Times New Roman" w:eastAsia="等线" w:cs="Times New Roman"/>
                <w:szCs w:val="21"/>
                <w:highlight w:val="none"/>
                <w:lang w:val="en-US" w:eastAsia="zh-CN"/>
              </w:rPr>
              <w:t>5、根据上级要求完成公司安排的其他工作。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1、全日制普通高等院校本科及以上学历，专业及代码（前4位）：经济学类（0201）、金融学类（0203）；</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2、具有三年以上金融机构对公业务从业经验，或在城投公司从事融资相关工作经验（须提供相关工作证明）；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3、熟悉资本市场运作规则和趋势，具备融资分析能力和判断能力，能够独立完成融资方案设计、谈判与沟通、整合资源、协调与推进等工作；</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4、掌握财务、金融、投资等领域的知识，熟悉国家宏观经济政策和金融政策，了解城投公司的业务特点和运营模式；</w:t>
            </w:r>
          </w:p>
          <w:p>
            <w:pPr>
              <w:widowControl/>
              <w:numPr>
                <w:ilvl w:val="0"/>
                <w:numId w:val="0"/>
              </w:numPr>
              <w:autoSpaceDE w:val="0"/>
              <w:spacing w:line="360" w:lineRule="exact"/>
              <w:ind w:left="0" w:leftChars="0" w:firstLine="0" w:firstLineChars="0"/>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sz w:val="22"/>
                <w:highlight w:val="none"/>
                <w:lang w:eastAsia="zh-CN"/>
              </w:rPr>
            </w:pPr>
            <w:r>
              <w:rPr>
                <w:rFonts w:hint="eastAsia" w:ascii="Times New Roman" w:hAnsi="Times New Roman" w:eastAsia="等线"/>
                <w:color w:val="000000"/>
                <w:kern w:val="0"/>
                <w:sz w:val="22"/>
                <w:highlight w:val="none"/>
                <w:lang w:val="en-US" w:eastAsia="zh-CN"/>
              </w:rPr>
              <w:t>2</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sz w:val="24"/>
                <w:szCs w:val="24"/>
                <w:highlight w:val="none"/>
                <w:lang w:val="en-US" w:eastAsia="zh-CN"/>
              </w:rPr>
              <w:t>投资管理岗</w:t>
            </w:r>
          </w:p>
          <w:p>
            <w:pPr>
              <w:widowControl/>
              <w:autoSpaceDE w:val="0"/>
              <w:spacing w:line="360" w:lineRule="exact"/>
              <w:jc w:val="center"/>
              <w:textAlignment w:val="center"/>
            </w:pPr>
            <w:r>
              <w:rPr>
                <w:rStyle w:val="7"/>
                <w:rFonts w:hint="eastAsia" w:ascii="Times New Roman" w:hAnsi="Times New Roman" w:eastAsia="黑体"/>
                <w:sz w:val="24"/>
                <w:szCs w:val="24"/>
                <w:highlight w:val="none"/>
                <w:lang w:val="en-US" w:eastAsia="zh-CN"/>
              </w:rPr>
              <w:t>（安徽江东产业投资集团）</w:t>
            </w:r>
          </w:p>
        </w:tc>
        <w:tc>
          <w:tcPr>
            <w:tcW w:w="770" w:type="dxa"/>
            <w:noWrap w:val="0"/>
            <w:vAlign w:val="center"/>
          </w:tcPr>
          <w:p>
            <w:pPr>
              <w:widowControl/>
              <w:numPr>
                <w:ilvl w:val="0"/>
                <w:numId w:val="0"/>
              </w:numPr>
              <w:autoSpaceDE w:val="0"/>
              <w:spacing w:line="360" w:lineRule="exact"/>
              <w:jc w:val="center"/>
              <w:textAlignment w:val="center"/>
              <w:rPr>
                <w:rFonts w:hint="eastAsia" w:ascii="Times New Roman" w:hAnsi="Times New Roman" w:eastAsia="等线" w:cs="Times New Roman"/>
                <w:szCs w:val="21"/>
                <w:highlight w:val="none"/>
                <w:lang w:eastAsia="zh-CN"/>
              </w:rPr>
            </w:pPr>
            <w:r>
              <w:rPr>
                <w:rFonts w:hint="eastAsia" w:ascii="Times New Roman" w:hAnsi="Times New Roman" w:eastAsia="等线" w:cs="Times New Roman"/>
                <w:szCs w:val="21"/>
                <w:highlight w:val="none"/>
                <w:lang w:val="en-US" w:eastAsia="zh-CN"/>
              </w:rPr>
              <w:t>1</w:t>
            </w:r>
          </w:p>
        </w:tc>
        <w:tc>
          <w:tcPr>
            <w:tcW w:w="1199" w:type="dxa"/>
            <w:noWrap w:val="0"/>
            <w:vAlign w:val="center"/>
          </w:tcPr>
          <w:p>
            <w:pPr>
              <w:widowControl/>
              <w:numPr>
                <w:ilvl w:val="0"/>
                <w:numId w:val="0"/>
              </w:numPr>
              <w:autoSpaceDE w:val="0"/>
              <w:spacing w:line="360" w:lineRule="exact"/>
              <w:jc w:val="center"/>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szCs w:val="21"/>
                <w:highlight w:val="none"/>
              </w:rPr>
            </w:pPr>
            <w:r>
              <w:rPr>
                <w:rFonts w:hint="eastAsia" w:ascii="Times New Roman" w:hAnsi="Times New Roman" w:eastAsia="等线"/>
                <w:szCs w:val="21"/>
                <w:highlight w:val="none"/>
              </w:rPr>
              <w:t>1、对拟投资项目进行可行性研究、尽职调查、估值及回报分析，撰写相关报告；</w:t>
            </w:r>
          </w:p>
          <w:p>
            <w:pPr>
              <w:widowControl/>
              <w:numPr>
                <w:ilvl w:val="0"/>
                <w:numId w:val="0"/>
              </w:numPr>
              <w:autoSpaceDE w:val="0"/>
              <w:spacing w:line="360" w:lineRule="exact"/>
              <w:jc w:val="left"/>
              <w:textAlignment w:val="center"/>
              <w:rPr>
                <w:rFonts w:hint="eastAsia" w:ascii="Times New Roman" w:hAnsi="Times New Roman" w:eastAsia="等线"/>
                <w:szCs w:val="21"/>
                <w:highlight w:val="none"/>
              </w:rPr>
            </w:pPr>
            <w:r>
              <w:rPr>
                <w:rFonts w:hint="eastAsia" w:ascii="Times New Roman" w:hAnsi="Times New Roman" w:eastAsia="等线"/>
                <w:szCs w:val="21"/>
                <w:highlight w:val="none"/>
              </w:rPr>
              <w:t>2、设计投后管理及退出方案，对已投资项目进行投后管理；</w:t>
            </w:r>
          </w:p>
          <w:p>
            <w:pPr>
              <w:widowControl/>
              <w:numPr>
                <w:ilvl w:val="0"/>
                <w:numId w:val="0"/>
              </w:numPr>
              <w:autoSpaceDE w:val="0"/>
              <w:spacing w:line="360" w:lineRule="exact"/>
              <w:jc w:val="left"/>
              <w:textAlignment w:val="center"/>
              <w:rPr>
                <w:rFonts w:hint="eastAsia" w:ascii="Times New Roman" w:hAnsi="Times New Roman" w:eastAsia="等线"/>
                <w:szCs w:val="21"/>
                <w:highlight w:val="none"/>
              </w:rPr>
            </w:pPr>
            <w:r>
              <w:rPr>
                <w:rFonts w:hint="eastAsia" w:ascii="Times New Roman" w:hAnsi="Times New Roman" w:eastAsia="等线"/>
                <w:szCs w:val="21"/>
                <w:highlight w:val="none"/>
              </w:rPr>
              <w:t>3、及时揭示项目运营中存在的风险并提出相应的解决方案；</w:t>
            </w:r>
          </w:p>
          <w:p>
            <w:pPr>
              <w:widowControl/>
              <w:numPr>
                <w:ilvl w:val="0"/>
                <w:numId w:val="0"/>
              </w:numPr>
              <w:autoSpaceDE w:val="0"/>
              <w:spacing w:line="360" w:lineRule="exact"/>
              <w:jc w:val="left"/>
              <w:textAlignment w:val="center"/>
              <w:rPr>
                <w:rFonts w:ascii="Times New Roman" w:hAnsi="Times New Roman" w:eastAsia="等线"/>
                <w:szCs w:val="21"/>
                <w:highlight w:val="none"/>
              </w:rPr>
            </w:pPr>
            <w:r>
              <w:rPr>
                <w:rFonts w:hint="eastAsia" w:ascii="Times New Roman" w:hAnsi="Times New Roman" w:eastAsia="等线"/>
                <w:szCs w:val="21"/>
                <w:highlight w:val="none"/>
              </w:rPr>
              <w:t>4、根据上级要求完成公司安排的其他工作。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szCs w:val="21"/>
                <w:highlight w:val="none"/>
              </w:rPr>
            </w:pPr>
            <w:r>
              <w:rPr>
                <w:rFonts w:hint="eastAsia" w:ascii="Times New Roman" w:hAnsi="Times New Roman" w:eastAsia="等线"/>
                <w:szCs w:val="21"/>
                <w:highlight w:val="none"/>
              </w:rPr>
              <w:t>1、</w:t>
            </w:r>
            <w:r>
              <w:rPr>
                <w:rFonts w:hint="eastAsia" w:ascii="Times New Roman" w:hAnsi="Times New Roman" w:eastAsia="等线" w:cs="Times New Roman"/>
                <w:szCs w:val="21"/>
                <w:highlight w:val="none"/>
                <w:lang w:val="en-US" w:eastAsia="zh-CN"/>
              </w:rPr>
              <w:t>全日制</w:t>
            </w:r>
            <w:r>
              <w:rPr>
                <w:rFonts w:hint="eastAsia" w:ascii="Times New Roman" w:hAnsi="Times New Roman" w:eastAsia="等线"/>
                <w:szCs w:val="21"/>
                <w:highlight w:val="none"/>
              </w:rPr>
              <w:t>普通高等院校本科及以上学历，</w:t>
            </w:r>
            <w:r>
              <w:rPr>
                <w:rFonts w:hint="eastAsia" w:ascii="Times New Roman" w:hAnsi="Times New Roman" w:eastAsia="等线" w:cs="Times New Roman"/>
                <w:szCs w:val="21"/>
                <w:highlight w:val="none"/>
                <w:lang w:val="en-US" w:eastAsia="zh-CN"/>
              </w:rPr>
              <w:t>专业及代码（前4位）：</w:t>
            </w:r>
            <w:r>
              <w:rPr>
                <w:rFonts w:hint="eastAsia" w:ascii="Times New Roman" w:hAnsi="Times New Roman" w:eastAsia="等线"/>
                <w:szCs w:val="21"/>
                <w:highlight w:val="none"/>
              </w:rPr>
              <w:t>经济学类（0201）、金融学类（0203）、法学类（0301）、工商管理类（1202）、机械类（0802）、材料类（0804）、能源动力类（0805）、电气类（0806）等相关专业；</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rPr>
            </w:pPr>
            <w:r>
              <w:rPr>
                <w:rFonts w:hint="eastAsia" w:ascii="Times New Roman" w:hAnsi="Times New Roman" w:eastAsia="等线"/>
                <w:szCs w:val="21"/>
                <w:highlight w:val="none"/>
              </w:rPr>
              <w:t>2、具有</w:t>
            </w:r>
            <w:r>
              <w:rPr>
                <w:rFonts w:hint="eastAsia" w:ascii="Times New Roman" w:hAnsi="Times New Roman" w:eastAsia="等线"/>
                <w:szCs w:val="21"/>
                <w:highlight w:val="none"/>
                <w:lang w:val="en-US" w:eastAsia="zh-CN"/>
              </w:rPr>
              <w:t>两</w:t>
            </w:r>
            <w:r>
              <w:rPr>
                <w:rFonts w:hint="eastAsia" w:ascii="Times New Roman" w:hAnsi="Times New Roman" w:eastAsia="等线"/>
                <w:szCs w:val="21"/>
                <w:highlight w:val="none"/>
              </w:rPr>
              <w:t>年</w:t>
            </w:r>
            <w:r>
              <w:rPr>
                <w:rFonts w:hint="eastAsia" w:ascii="Times New Roman" w:hAnsi="Times New Roman" w:eastAsia="等线"/>
                <w:szCs w:val="21"/>
                <w:highlight w:val="none"/>
                <w:lang w:val="en-US" w:eastAsia="zh-CN"/>
              </w:rPr>
              <w:t>及</w:t>
            </w:r>
            <w:r>
              <w:rPr>
                <w:rFonts w:hint="eastAsia" w:ascii="Times New Roman" w:hAnsi="Times New Roman" w:eastAsia="等线"/>
                <w:szCs w:val="21"/>
                <w:highlight w:val="none"/>
              </w:rPr>
              <w:t>以上金融、类金融、投资机构、资产管理等机构</w:t>
            </w:r>
            <w:r>
              <w:rPr>
                <w:rFonts w:hint="eastAsia" w:ascii="Times New Roman" w:hAnsi="Times New Roman" w:eastAsia="等线"/>
                <w:szCs w:val="21"/>
                <w:highlight w:val="none"/>
                <w:lang w:val="en-US" w:eastAsia="zh-CN"/>
              </w:rPr>
              <w:t>投资</w:t>
            </w:r>
            <w:r>
              <w:rPr>
                <w:rFonts w:hint="eastAsia" w:ascii="Times New Roman" w:hAnsi="Times New Roman" w:eastAsia="等线"/>
                <w:szCs w:val="21"/>
                <w:highlight w:val="none"/>
              </w:rPr>
              <w:t>业务</w:t>
            </w:r>
            <w:r>
              <w:rPr>
                <w:rFonts w:hint="eastAsia" w:ascii="Times New Roman" w:hAnsi="Times New Roman" w:eastAsia="等线" w:cs="Times New Roman"/>
                <w:szCs w:val="21"/>
                <w:highlight w:val="none"/>
              </w:rPr>
              <w:t>工作经验</w:t>
            </w:r>
            <w:r>
              <w:rPr>
                <w:rFonts w:hint="eastAsia" w:ascii="Times New Roman" w:hAnsi="Times New Roman" w:eastAsia="等线" w:cs="Times New Roman"/>
                <w:szCs w:val="21"/>
                <w:highlight w:val="none"/>
                <w:lang w:val="en-US" w:eastAsia="zh-CN"/>
              </w:rPr>
              <w:t>（须提供相关工作证明）</w:t>
            </w:r>
            <w:r>
              <w:rPr>
                <w:rFonts w:hint="eastAsia" w:ascii="Times New Roman" w:hAnsi="Times New Roman" w:eastAsia="等线" w:cs="Times New Roman"/>
                <w:szCs w:val="21"/>
                <w:highlight w:val="none"/>
              </w:rPr>
              <w:t>；</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rPr>
              <w:t>3、具备基金或证券行业相关资质证书；</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rPr>
              <w:t>4、有较强的文字表达能力、语言沟通能力、信息获取整合能力及文案撰写能力；</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lang w:val="en-US" w:eastAsia="zh-CN"/>
              </w:rPr>
              <w:t>5、品行端正，身体健康，具有良好的团队合作精神和强烈的工作责任心，能适应出差、加班；</w:t>
            </w:r>
          </w:p>
          <w:p>
            <w:pPr>
              <w:widowControl/>
              <w:numPr>
                <w:ilvl w:val="0"/>
                <w:numId w:val="0"/>
              </w:numPr>
              <w:autoSpaceDE w:val="0"/>
              <w:spacing w:line="360" w:lineRule="exact"/>
              <w:jc w:val="left"/>
              <w:textAlignment w:val="center"/>
              <w:rPr>
                <w:rFonts w:ascii="Times New Roman" w:hAnsi="Times New Roman" w:eastAsia="等线"/>
                <w:szCs w:val="21"/>
                <w:highlight w:val="none"/>
              </w:rPr>
            </w:pPr>
            <w:r>
              <w:rPr>
                <w:rFonts w:hint="eastAsia" w:ascii="Times New Roman" w:hAnsi="Times New Roman" w:eastAsia="等线" w:cs="Times New Roman"/>
                <w:szCs w:val="21"/>
                <w:highlight w:val="none"/>
                <w:lang w:val="en-US" w:eastAsia="zh-CN"/>
              </w:rPr>
              <w:t>6</w:t>
            </w:r>
            <w:r>
              <w:rPr>
                <w:rFonts w:hint="eastAsia" w:ascii="Times New Roman" w:hAnsi="Times New Roman" w:eastAsia="等线" w:cs="Times New Roman"/>
                <w:szCs w:val="21"/>
                <w:highlight w:val="none"/>
              </w:rPr>
              <w:t>、</w:t>
            </w:r>
            <w:r>
              <w:rPr>
                <w:rFonts w:hint="eastAsia" w:ascii="Times New Roman" w:hAnsi="Times New Roman" w:eastAsia="等线" w:cs="Times New Roman"/>
                <w:szCs w:val="21"/>
                <w:highlight w:val="none"/>
                <w:lang w:val="en-US" w:eastAsia="zh-CN"/>
              </w:rPr>
              <w:t>有</w:t>
            </w:r>
            <w:r>
              <w:rPr>
                <w:rFonts w:hint="eastAsia" w:ascii="Times New Roman" w:hAnsi="Times New Roman" w:eastAsia="等线" w:cs="Times New Roman"/>
                <w:szCs w:val="21"/>
                <w:highlight w:val="none"/>
              </w:rPr>
              <w:t>法律职业资格证书或注册会计师资格证书</w:t>
            </w:r>
            <w:r>
              <w:rPr>
                <w:rFonts w:hint="eastAsia" w:ascii="Times New Roman" w:hAnsi="Times New Roman" w:eastAsia="等线" w:cs="Times New Roman"/>
                <w:szCs w:val="21"/>
                <w:highlight w:val="none"/>
                <w:lang w:val="en-US" w:eastAsia="zh-CN"/>
              </w:rPr>
              <w:t>者</w:t>
            </w:r>
            <w:r>
              <w:rPr>
                <w:rFonts w:hint="eastAsia" w:ascii="Times New Roman" w:hAnsi="Times New Roman" w:eastAsia="等线" w:cs="Times New Roman"/>
                <w:szCs w:val="21"/>
                <w:highlight w:val="none"/>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3</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sz w:val="24"/>
                <w:szCs w:val="24"/>
                <w:highlight w:val="none"/>
                <w:lang w:val="en-US" w:eastAsia="zh-CN"/>
              </w:rPr>
              <w:t>基金管理岗</w:t>
            </w:r>
          </w:p>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sz w:val="24"/>
                <w:szCs w:val="24"/>
                <w:highlight w:val="none"/>
                <w:lang w:val="en-US" w:eastAsia="zh-CN"/>
              </w:rPr>
              <w:t>（安徽江东产业投资集团）</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rPr>
            </w:pPr>
            <w:r>
              <w:rPr>
                <w:rFonts w:hint="default" w:ascii="Times New Roman" w:hAnsi="Times New Roman" w:eastAsia="等线" w:cs="Times New Roman"/>
                <w:szCs w:val="21"/>
                <w:highlight w:val="none"/>
              </w:rPr>
              <w:t>1、参与私募基金的设立，负责新设立基金的前期调研、架构设计、谈判、相关审批程序；</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rPr>
            </w:pPr>
            <w:r>
              <w:rPr>
                <w:rFonts w:hint="default" w:ascii="Times New Roman" w:hAnsi="Times New Roman" w:eastAsia="等线" w:cs="Times New Roman"/>
                <w:szCs w:val="21"/>
                <w:highlight w:val="none"/>
              </w:rPr>
              <w:t>2、负责基金的募、投、管、退全流程管理；</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rPr>
            </w:pPr>
            <w:r>
              <w:rPr>
                <w:rFonts w:hint="default" w:ascii="Times New Roman" w:hAnsi="Times New Roman" w:eastAsia="等线" w:cs="Times New Roman"/>
                <w:szCs w:val="21"/>
                <w:highlight w:val="none"/>
              </w:rPr>
              <w:t>3、对拟投项目开展尽职调查，拟定投资交易结构、投资计划和方案，并对拟投资项目的投资成本进行估算、对盈利指标进行财务分析与预测等，为投资决策委员会决策提供依据；</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rPr>
            </w:pPr>
            <w:r>
              <w:rPr>
                <w:rFonts w:hint="default" w:ascii="Times New Roman" w:hAnsi="Times New Roman" w:eastAsia="等线" w:cs="Times New Roman"/>
                <w:szCs w:val="21"/>
                <w:highlight w:val="none"/>
              </w:rPr>
              <w:t>4、对已实施的投资项目进行监控、分析、评估、管理，定期开展项目投后管理工作，并全流程关注项目风险</w:t>
            </w:r>
            <w:r>
              <w:rPr>
                <w:rFonts w:hint="eastAsia" w:ascii="Times New Roman" w:hAnsi="Times New Roman" w:eastAsia="等线" w:cs="Times New Roman"/>
                <w:szCs w:val="21"/>
                <w:highlight w:val="none"/>
                <w:lang w:eastAsia="zh-CN"/>
              </w:rPr>
              <w:t>，</w:t>
            </w:r>
            <w:r>
              <w:rPr>
                <w:rFonts w:hint="default" w:ascii="Times New Roman" w:hAnsi="Times New Roman" w:eastAsia="等线" w:cs="Times New Roman"/>
                <w:szCs w:val="21"/>
                <w:highlight w:val="none"/>
              </w:rPr>
              <w:t>定期提交监管报告，拓展完善退出渠道；</w:t>
            </w:r>
          </w:p>
          <w:p>
            <w:pPr>
              <w:widowControl/>
              <w:numPr>
                <w:ilvl w:val="0"/>
                <w:numId w:val="0"/>
              </w:numPr>
              <w:autoSpaceDE w:val="0"/>
              <w:spacing w:line="360" w:lineRule="exact"/>
              <w:jc w:val="left"/>
              <w:textAlignment w:val="center"/>
              <w:rPr>
                <w:rStyle w:val="8"/>
                <w:rFonts w:hint="default" w:ascii="Times New Roman" w:hAnsi="Times New Roman" w:cs="Times New Roman"/>
                <w:highlight w:val="none"/>
              </w:rPr>
            </w:pPr>
            <w:r>
              <w:rPr>
                <w:rFonts w:hint="default" w:ascii="Times New Roman" w:hAnsi="Times New Roman" w:eastAsia="等线" w:cs="Times New Roman"/>
                <w:szCs w:val="21"/>
                <w:highlight w:val="none"/>
              </w:rPr>
              <w:t>5、</w:t>
            </w:r>
            <w:r>
              <w:rPr>
                <w:rFonts w:hint="eastAsia" w:ascii="Times New Roman" w:hAnsi="Times New Roman" w:eastAsia="等线"/>
                <w:szCs w:val="21"/>
                <w:highlight w:val="none"/>
              </w:rPr>
              <w:t>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1、全日制普通高等院校本科及以上学历，专业及代码（前4/6位）：经济学类（0201）、金融学类（0203）、法学类（0301）、财务管理（120204）等相关专业毕业，具有复合型的教育背景或工作经历优先。</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2、具有两年及以上私募基金投资、管理经验（须提供相关工作证明）；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3、具备基金从业资格证书；</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4、有较强的文字表达能力、语言沟通能力、信息获取整合能力及文案撰写能力，具有较强的逻辑思维能力、研究能力和沟通能力，具备较强的财务分析、估值分析等能力；</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lang w:val="en-US" w:eastAsia="zh-CN"/>
              </w:rPr>
              <w:t>5、品行端正，身体健康，具有良好的团队合作精神和强烈的工作责任心，能适应出差、加班；</w:t>
            </w:r>
          </w:p>
          <w:p>
            <w:pPr>
              <w:widowControl/>
              <w:numPr>
                <w:ilvl w:val="0"/>
                <w:numId w:val="0"/>
              </w:numPr>
              <w:autoSpaceDE w:val="0"/>
              <w:spacing w:line="360" w:lineRule="exact"/>
              <w:jc w:val="left"/>
              <w:textAlignment w:val="center"/>
              <w:rPr>
                <w:rStyle w:val="9"/>
                <w:rFonts w:hint="eastAsia" w:ascii="Times New Roman" w:hAnsi="Times New Roman" w:eastAsia="仿宋" w:cs="Times New Roman"/>
                <w:highlight w:val="none"/>
                <w:u w:val="none"/>
                <w:lang w:val="en-US" w:eastAsia="zh-CN"/>
              </w:rPr>
            </w:pPr>
            <w:r>
              <w:rPr>
                <w:rFonts w:hint="eastAsia" w:ascii="Times New Roman" w:hAnsi="Times New Roman" w:eastAsia="等线" w:cs="Times New Roman"/>
                <w:szCs w:val="21"/>
                <w:highlight w:val="none"/>
                <w:lang w:val="en-US" w:eastAsia="zh-CN"/>
              </w:rPr>
              <w:t>6、有法律职业资格证书或注册会计师资格证书者优先。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4</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sz w:val="24"/>
                <w:szCs w:val="24"/>
                <w:highlight w:val="none"/>
                <w:lang w:val="en-US" w:eastAsia="zh-CN"/>
              </w:rPr>
              <w:t>风险合规岗</w:t>
            </w:r>
          </w:p>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sz w:val="24"/>
                <w:szCs w:val="24"/>
                <w:highlight w:val="none"/>
                <w:lang w:val="en-US" w:eastAsia="zh-CN"/>
              </w:rPr>
              <w:t>（安徽江东产业投资集团）</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1、负责公司内部风控监督、风险排查，并提出相关专业意见；</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2、负责对拟投资项目进行风险审查，并提出应对措施；负责组织实施业务经营管理中定期或不定期的法务合规审核与检查工作；</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3、负责审核公司对外投资协议或合伙协议及其他文件;负责合同、内部规章制度和业务操作规程法务合规审查；</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4、负责投资企业案件的诉讼;</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w:t>
            </w:r>
            <w:r>
              <w:rPr>
                <w:rFonts w:hint="default" w:ascii="Times New Roman" w:hAnsi="Times New Roman" w:eastAsia="等线" w:cs="Times New Roman"/>
                <w:szCs w:val="21"/>
                <w:highlight w:val="none"/>
                <w:lang w:val="en-US" w:eastAsia="zh-CN"/>
              </w:rPr>
              <w:t>、负责拟订公司的法务合规政策，并组织实施</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6、</w:t>
            </w:r>
            <w:r>
              <w:rPr>
                <w:rFonts w:hint="default" w:ascii="Times New Roman" w:hAnsi="Times New Roman" w:eastAsia="等线" w:cs="Times New Roman"/>
                <w:szCs w:val="21"/>
                <w:highlight w:val="none"/>
                <w:lang w:val="en-US" w:eastAsia="zh-CN"/>
              </w:rPr>
              <w:t>负责开展法务合规培训</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7</w:t>
            </w:r>
            <w:r>
              <w:rPr>
                <w:rFonts w:hint="default" w:ascii="Times New Roman" w:hAnsi="Times New Roman" w:eastAsia="等线" w:cs="Times New Roman"/>
                <w:szCs w:val="21"/>
                <w:highlight w:val="none"/>
                <w:lang w:val="en-US" w:eastAsia="zh-CN"/>
              </w:rPr>
              <w:t>、</w:t>
            </w:r>
            <w:r>
              <w:rPr>
                <w:rFonts w:hint="eastAsia" w:ascii="Times New Roman" w:hAnsi="Times New Roman" w:eastAsia="等线"/>
                <w:szCs w:val="21"/>
                <w:highlight w:val="none"/>
              </w:rPr>
              <w:t>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1、全日制普通高等院校本科及以上学历，专业及代码（前4位）：金融学类（0203）、经济学类（0201）、法学类（0301）等相关专业；</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2、具有两年及以上风险管理、投资事务、合规管理、法律事务工作经验，具备良好的身体素质，能适应较强的工作压力（须提供相关工作证明）；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3、熟悉诉讼流程，熟悉股权（基金）投资行业相关法律法规政策；</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rPr>
            </w:pPr>
            <w:r>
              <w:rPr>
                <w:rFonts w:hint="eastAsia" w:ascii="Times New Roman" w:hAnsi="Times New Roman" w:eastAsia="等线" w:cs="Times New Roman"/>
                <w:szCs w:val="21"/>
                <w:highlight w:val="none"/>
                <w:lang w:val="en-US" w:eastAsia="zh-CN"/>
              </w:rPr>
              <w:t>4、品行端正，身体健康，具有良好的团队合作精神和强烈的工作责任心，能适应出差、加班；</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5、有法律职业资格证书者优先。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5</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工程计划岗（安徽荣马置地科技有限责任公司）</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1、负责建设工程项目土地、立项、规划、施工许可等前期手续办理工作；</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2、负责招标管理及合同签订工作；</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3、负责对接设计单位，跟踪图纸设计进展，协调或处理图纸中专业技术问题；</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4、负责组织清单控制价编制工作；</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5、参与施工单位上报工程造价报审表的定价等</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Style w:val="8"/>
                <w:rFonts w:hint="default" w:ascii="Times New Roman" w:hAnsi="Times New Roman" w:cs="Times New Roman"/>
                <w:highlight w:val="none"/>
              </w:rPr>
            </w:pPr>
            <w:r>
              <w:rPr>
                <w:rFonts w:hint="eastAsia" w:ascii="Times New Roman" w:hAnsi="Times New Roman" w:eastAsia="等线" w:cs="Times New Roman"/>
                <w:szCs w:val="21"/>
                <w:highlight w:val="none"/>
                <w:lang w:val="en-US" w:eastAsia="zh-CN"/>
              </w:rPr>
              <w:t>6、</w:t>
            </w:r>
            <w:r>
              <w:rPr>
                <w:rFonts w:hint="eastAsia" w:ascii="Times New Roman" w:hAnsi="Times New Roman" w:eastAsia="等线"/>
                <w:szCs w:val="21"/>
                <w:highlight w:val="none"/>
              </w:rPr>
              <w:t>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1、全日制普通高等院校本科及以上学历，专业及代码（前4/6位）：土木类（0810）、管理科学与工程类（1201）、风景园林（082803），具有相应学历、学位证书；</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2、具有三年及以上土建、市政道路、房地产开发、工程预算或造价等实操管理经验（须提供相关工作证明）；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3、熟悉工程项目报建流程及政策；</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4、具有较好的协调沟通能力；</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5、具有工程领域相关中级职称、国家注册类证书；</w:t>
            </w:r>
          </w:p>
          <w:p>
            <w:pPr>
              <w:widowControl/>
              <w:numPr>
                <w:ilvl w:val="0"/>
                <w:numId w:val="0"/>
              </w:numPr>
              <w:autoSpaceDE w:val="0"/>
              <w:spacing w:line="360" w:lineRule="exact"/>
              <w:jc w:val="left"/>
              <w:textAlignment w:val="center"/>
              <w:rPr>
                <w:rStyle w:val="9"/>
                <w:rFonts w:hint="eastAsia" w:ascii="Times New Roman" w:hAnsi="Times New Roman" w:eastAsia="仿宋" w:cs="Times New Roman"/>
                <w:highlight w:val="none"/>
                <w:u w:val="none"/>
                <w:lang w:val="en-US" w:eastAsia="zh-CN"/>
              </w:rPr>
            </w:pPr>
            <w:r>
              <w:rPr>
                <w:rFonts w:hint="eastAsia" w:ascii="Times New Roman" w:hAnsi="Times New Roman" w:eastAsia="等线" w:cs="Times New Roman"/>
                <w:szCs w:val="21"/>
                <w:highlight w:val="none"/>
                <w:lang w:val="en-US" w:eastAsia="zh-CN"/>
              </w:rPr>
              <w:t>6、品行端正，身体健康，具有良好的团队合作精神和强烈的工作责任心，能适应出差、加班。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6</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工程管理岗（安徽荣马置地科技有限责任公司）</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1、按照公司工程管理制度，负责对项目开工至竣工的全过程管理；</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2、负责工程项目现场进度、质量、安全、成本管理，并配合计划部办理前期各项手续；</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3、审核施工图纸，参与图纸会审和各类施工方案评审，参加各类设计、样板评审，及时发现和合理解决设计与施工过程中的问题；</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4、负责现场协调及沟通工作，积极、主动协助施工单位解决现场施工中出现的各类问题；</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5、办理设计变更和现场签证，准备竣工资料，参加竣工验收，落实资料移交等</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rPr>
            </w:pPr>
            <w:r>
              <w:rPr>
                <w:rFonts w:hint="eastAsia" w:ascii="Times New Roman" w:hAnsi="Times New Roman" w:eastAsia="等线" w:cs="Times New Roman"/>
                <w:szCs w:val="21"/>
                <w:highlight w:val="none"/>
                <w:lang w:val="en-US" w:eastAsia="zh-CN"/>
              </w:rPr>
              <w:t>6.根据上级要求完成公司安排的其他工作。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1、全日制普通高等院校本科及以上学历，专业及代码（前4/6位）：土木类（0810）、管理科学与工程类（1201）、建筑类（0828）、风景园林（082803），具有相应学历、学位证书；</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2、具有三年及以上土建、市政道路、房地产开发等现场管理经验（须提供相关工作证明）；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3、具有较强的计划实施能力，较强的组织协调和沟通能力；</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4、具有工程领域相关中级职称、国家注册类证书；</w:t>
            </w:r>
          </w:p>
          <w:p>
            <w:pPr>
              <w:widowControl/>
              <w:numPr>
                <w:ilvl w:val="0"/>
                <w:numId w:val="0"/>
              </w:numPr>
              <w:autoSpaceDE w:val="0"/>
              <w:spacing w:line="360" w:lineRule="exact"/>
              <w:jc w:val="left"/>
              <w:textAlignment w:val="center"/>
              <w:rPr>
                <w:rStyle w:val="9"/>
                <w:rFonts w:hint="eastAsia" w:ascii="Times New Roman" w:hAnsi="Times New Roman" w:eastAsia="仿宋" w:cs="Times New Roman"/>
                <w:highlight w:val="none"/>
                <w:u w:val="none"/>
                <w:lang w:val="en-US" w:eastAsia="zh-CN"/>
              </w:rPr>
            </w:pPr>
            <w:r>
              <w:rPr>
                <w:rFonts w:hint="eastAsia" w:ascii="Times New Roman" w:hAnsi="Times New Roman" w:eastAsia="等线" w:cs="Times New Roman"/>
                <w:szCs w:val="21"/>
                <w:highlight w:val="none"/>
                <w:lang w:val="en-US" w:eastAsia="zh-CN"/>
              </w:rPr>
              <w:t>5、品行端正，身体健康，具有良好的团队合作精神和强烈的工作责任心，能适应出差、加班。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7</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cs="Times New Roman"/>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销售岗</w:t>
            </w:r>
          </w:p>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（安徽荣马置地科技有限责任公司）</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1、根据公司战略规划，提出相应的营销发展目标、规划和年度营销工作计划，制定细化的季度、月度营销计划，并采取有效措施，确保完</w:t>
            </w:r>
            <w:r>
              <w:rPr>
                <w:rFonts w:hint="eastAsia" w:ascii="Times New Roman" w:hAnsi="Times New Roman" w:eastAsia="等线" w:cs="Times New Roman"/>
                <w:szCs w:val="21"/>
                <w:highlight w:val="none"/>
                <w:lang w:val="en-US" w:eastAsia="zh-CN"/>
              </w:rPr>
              <w:t>既定目标</w:t>
            </w:r>
            <w:r>
              <w:rPr>
                <w:rFonts w:hint="default"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2、</w:t>
            </w:r>
            <w:r>
              <w:rPr>
                <w:rFonts w:hint="eastAsia" w:ascii="Times New Roman" w:hAnsi="Times New Roman" w:eastAsia="等线" w:cs="Times New Roman"/>
                <w:szCs w:val="21"/>
                <w:highlight w:val="none"/>
                <w:lang w:val="en-US" w:eastAsia="zh-CN"/>
              </w:rPr>
              <w:t>制定</w:t>
            </w:r>
            <w:r>
              <w:rPr>
                <w:rFonts w:hint="default" w:ascii="Times New Roman" w:hAnsi="Times New Roman" w:eastAsia="等线" w:cs="Times New Roman"/>
                <w:szCs w:val="21"/>
                <w:highlight w:val="none"/>
                <w:lang w:val="en-US" w:eastAsia="zh-CN"/>
              </w:rPr>
              <w:t>各类营销推广方案并组织实施；</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3、做好市场调研、分析、报告工作；</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4、做好销售相关手续办理</w:t>
            </w:r>
            <w:r>
              <w:rPr>
                <w:rFonts w:hint="eastAsia" w:ascii="Times New Roman" w:hAnsi="Times New Roman" w:eastAsia="等线" w:cs="Times New Roman"/>
                <w:szCs w:val="21"/>
                <w:highlight w:val="none"/>
                <w:lang w:val="en-US" w:eastAsia="zh-CN"/>
              </w:rPr>
              <w:t>和</w:t>
            </w:r>
            <w:r>
              <w:rPr>
                <w:rFonts w:hint="default" w:ascii="Times New Roman" w:hAnsi="Times New Roman" w:eastAsia="等线" w:cs="Times New Roman"/>
                <w:szCs w:val="21"/>
                <w:highlight w:val="none"/>
                <w:lang w:val="en-US" w:eastAsia="zh-CN"/>
              </w:rPr>
              <w:t>资料整理归档工作；</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5、负责房地产前期开发方案策划、制定及报审等</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lang w:val="en-US" w:eastAsia="zh-CN"/>
              </w:rPr>
            </w:pPr>
            <w:r>
              <w:rPr>
                <w:rFonts w:hint="eastAsia" w:ascii="Times New Roman" w:hAnsi="Times New Roman" w:eastAsia="等线" w:cs="Times New Roman"/>
                <w:szCs w:val="21"/>
                <w:highlight w:val="none"/>
                <w:lang w:val="en-US" w:eastAsia="zh-CN"/>
              </w:rPr>
              <w:t>6、根据上级要求完成公司安排的其他工作。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1、全日制普通高等院校本科及以上学历，专业及代码（前4位）：土木类（0810）、工商管理类（1202），具有相应学历、学位证书；</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2、具有三年及以上房地产开发企业销售实操经验（须提供相关工作证明）；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3、形象良好，沟通能力强，有较强的服务意识，善于沟通协调，能够适应高效率的工作环境；</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4、工作积极主动，认真负责；做事有条理，善于处理繁杂事务；</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750" w:type="dxa"/>
            <w:noWrap/>
            <w:vAlign w:val="center"/>
          </w:tcPr>
          <w:p>
            <w:pPr>
              <w:widowControl/>
              <w:autoSpaceDE w:val="0"/>
              <w:spacing w:line="360" w:lineRule="exact"/>
              <w:jc w:val="center"/>
              <w:textAlignment w:val="center"/>
              <w:rPr>
                <w:rFonts w:hint="eastAsia"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8</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cs="Times New Roman"/>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投资管理岗</w:t>
            </w:r>
          </w:p>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（安徽江东交通投资有限责任公司）</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1、负责拟定投资管理规章制度；</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w:t>
            </w:r>
            <w:r>
              <w:rPr>
                <w:rFonts w:hint="default" w:ascii="Times New Roman" w:hAnsi="Times New Roman" w:eastAsia="等线" w:cs="Times New Roman"/>
                <w:szCs w:val="21"/>
                <w:highlight w:val="none"/>
                <w:lang w:val="en-US" w:eastAsia="zh-CN"/>
              </w:rPr>
              <w:t>、负责项目投资分析论证、目标成本预算的控制、标后造价管控</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w:t>
            </w:r>
            <w:r>
              <w:rPr>
                <w:rFonts w:hint="default" w:ascii="Times New Roman" w:hAnsi="Times New Roman" w:eastAsia="等线" w:cs="Times New Roman"/>
                <w:szCs w:val="21"/>
                <w:highlight w:val="none"/>
                <w:lang w:val="en-US" w:eastAsia="zh-CN"/>
              </w:rPr>
              <w:t>、负责项目前期报建、报批、报审等相关手续工作</w:t>
            </w:r>
            <w:r>
              <w:rPr>
                <w:rFonts w:hint="eastAsia" w:ascii="Times New Roman" w:hAnsi="Times New Roman" w:eastAsia="等线" w:cs="Times New Roman"/>
                <w:szCs w:val="21"/>
                <w:highlight w:val="none"/>
                <w:lang w:val="en-US" w:eastAsia="zh-CN"/>
              </w:rPr>
              <w:t>，确保各项工作按期进行；</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w:t>
            </w:r>
            <w:r>
              <w:rPr>
                <w:rFonts w:hint="default" w:ascii="Times New Roman" w:hAnsi="Times New Roman" w:eastAsia="等线" w:cs="Times New Roman"/>
                <w:szCs w:val="21"/>
                <w:highlight w:val="none"/>
                <w:lang w:val="en-US" w:eastAsia="zh-CN"/>
              </w:rPr>
              <w:t>、负责项目资金审核拨付工作；</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w:t>
            </w:r>
            <w:r>
              <w:rPr>
                <w:rFonts w:hint="default" w:ascii="Times New Roman" w:hAnsi="Times New Roman" w:eastAsia="等线" w:cs="Times New Roman"/>
                <w:szCs w:val="21"/>
                <w:highlight w:val="none"/>
                <w:lang w:val="en-US" w:eastAsia="zh-CN"/>
              </w:rPr>
              <w:t>、负责制定项目投资计划、重要节点、考核评价标准</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lang w:val="en-US" w:eastAsia="zh-CN"/>
              </w:rPr>
            </w:pPr>
            <w:r>
              <w:rPr>
                <w:rFonts w:hint="eastAsia" w:ascii="Times New Roman" w:hAnsi="Times New Roman" w:eastAsia="等线" w:cs="Times New Roman"/>
                <w:szCs w:val="21"/>
                <w:highlight w:val="none"/>
                <w:lang w:val="en-US" w:eastAsia="zh-CN"/>
              </w:rPr>
              <w:t>6.根据上级要求完成公司安排的其他工作。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1、全日制普通高等院校本科及以上学历，土木、水利、交通运输、隧道、道路、桥梁、管理科学与工程、城乡规划、交通规划等相关专业，具有相应学历、学位证书，具有相关中级职称或职业资格证书者优先；</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2.具有三年及以上公路工程前期工作经验，熟悉公路工程基本前期手续（须提供相关工作证明）；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750" w:type="dxa"/>
            <w:noWrap/>
            <w:vAlign w:val="center"/>
          </w:tcPr>
          <w:p>
            <w:pPr>
              <w:widowControl/>
              <w:autoSpaceDE w:val="0"/>
              <w:spacing w:line="360" w:lineRule="exact"/>
              <w:jc w:val="center"/>
              <w:textAlignment w:val="center"/>
              <w:rPr>
                <w:rFonts w:hint="default"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9</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cs="Times New Roman"/>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工程管理岗</w:t>
            </w:r>
          </w:p>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（安徽江东交通投资有限责任公司）</w:t>
            </w:r>
          </w:p>
        </w:tc>
        <w:tc>
          <w:tcPr>
            <w:tcW w:w="770" w:type="dxa"/>
            <w:noWrap w:val="0"/>
            <w:vAlign w:val="center"/>
          </w:tcPr>
          <w:p>
            <w:pPr>
              <w:widowControl/>
              <w:autoSpaceDE w:val="0"/>
              <w:spacing w:line="360" w:lineRule="exact"/>
              <w:jc w:val="center"/>
              <w:textAlignment w:val="center"/>
              <w:rPr>
                <w:rFonts w:hint="default"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1、牵头拟定工程管理规章制度；</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w:t>
            </w:r>
            <w:r>
              <w:rPr>
                <w:rFonts w:hint="default" w:ascii="Times New Roman" w:hAnsi="Times New Roman" w:eastAsia="等线" w:cs="Times New Roman"/>
                <w:szCs w:val="21"/>
                <w:highlight w:val="none"/>
                <w:lang w:val="en-US" w:eastAsia="zh-CN"/>
              </w:rPr>
              <w:t>、负责工程项目的建设与管理，含现场管理，技术管理，工程进度、质量、安全控制管理等</w:t>
            </w:r>
            <w:r>
              <w:rPr>
                <w:rFonts w:hint="eastAsia" w:ascii="Times New Roman" w:hAnsi="Times New Roman" w:eastAsia="等线" w:cs="Times New Roman"/>
                <w:szCs w:val="21"/>
                <w:highlight w:val="none"/>
                <w:lang w:val="en-US" w:eastAsia="zh-CN"/>
              </w:rPr>
              <w:t>，</w:t>
            </w:r>
            <w:r>
              <w:rPr>
                <w:rFonts w:hint="default" w:ascii="Times New Roman" w:hAnsi="Times New Roman" w:eastAsia="等线" w:cs="Times New Roman"/>
                <w:szCs w:val="21"/>
                <w:highlight w:val="none"/>
                <w:lang w:val="en-US" w:eastAsia="zh-CN"/>
              </w:rPr>
              <w:t>确保工程项目按计划实施</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w:t>
            </w:r>
            <w:r>
              <w:rPr>
                <w:rFonts w:hint="default" w:ascii="Times New Roman" w:hAnsi="Times New Roman" w:eastAsia="等线" w:cs="Times New Roman"/>
                <w:szCs w:val="21"/>
                <w:highlight w:val="none"/>
                <w:lang w:val="en-US" w:eastAsia="zh-CN"/>
              </w:rPr>
              <w:t>、负责与工程建设相关的沟通、协调，工程移交及运营维护等工作</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4</w:t>
            </w:r>
            <w:r>
              <w:rPr>
                <w:rFonts w:hint="default" w:ascii="Times New Roman" w:hAnsi="Times New Roman" w:eastAsia="等线" w:cs="Times New Roman"/>
                <w:szCs w:val="21"/>
                <w:highlight w:val="none"/>
                <w:lang w:val="en-US" w:eastAsia="zh-CN"/>
              </w:rPr>
              <w:t>、负责组织项目交竣工程序</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5、根据上级要求完成公司安排的其他工作。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1、全日制普通高等院校本科及以上学历，土木、水利、交通运输、隧道、道路、桥梁、管理科学与工程类等相关专业，具有相应学历、学位证书，具有相关中级职称或职业资格证书者优先；</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2、具有三年及以上公路工程相关工作经验建设项目全过程现场管理经验，熟悉公路工程基本建设程序（须提供相关工作证明）；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750" w:type="dxa"/>
            <w:noWrap/>
            <w:vAlign w:val="center"/>
          </w:tcPr>
          <w:p>
            <w:pPr>
              <w:widowControl/>
              <w:autoSpaceDE w:val="0"/>
              <w:spacing w:line="360" w:lineRule="exact"/>
              <w:jc w:val="center"/>
              <w:textAlignment w:val="center"/>
              <w:rPr>
                <w:rFonts w:hint="default" w:ascii="Times New Roman" w:hAnsi="Times New Roman" w:eastAsia="等线"/>
                <w:color w:val="000000"/>
                <w:kern w:val="0"/>
                <w:sz w:val="22"/>
                <w:highlight w:val="none"/>
                <w:lang w:val="en-US" w:eastAsia="zh-CN"/>
              </w:rPr>
            </w:pPr>
            <w:r>
              <w:rPr>
                <w:rFonts w:hint="eastAsia" w:ascii="Times New Roman" w:hAnsi="Times New Roman" w:eastAsia="等线"/>
                <w:color w:val="000000"/>
                <w:kern w:val="0"/>
                <w:sz w:val="22"/>
                <w:highlight w:val="none"/>
                <w:lang w:val="en-US" w:eastAsia="zh-CN"/>
              </w:rPr>
              <w:t>10</w:t>
            </w:r>
          </w:p>
        </w:tc>
        <w:tc>
          <w:tcPr>
            <w:tcW w:w="1676" w:type="dxa"/>
            <w:noWrap/>
            <w:vAlign w:val="center"/>
          </w:tcPr>
          <w:p>
            <w:pPr>
              <w:widowControl/>
              <w:autoSpaceDE w:val="0"/>
              <w:spacing w:line="360" w:lineRule="exact"/>
              <w:jc w:val="center"/>
              <w:textAlignment w:val="center"/>
              <w:rPr>
                <w:rStyle w:val="7"/>
                <w:rFonts w:hint="eastAsia" w:ascii="Times New Roman" w:hAnsi="Times New Roman" w:eastAsia="黑体"/>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规划设计岗（安徽江东交通投资有限责任公司）</w:t>
            </w:r>
          </w:p>
        </w:tc>
        <w:tc>
          <w:tcPr>
            <w:tcW w:w="770" w:type="dxa"/>
            <w:noWrap w:val="0"/>
            <w:vAlign w:val="center"/>
          </w:tcPr>
          <w:p>
            <w:pPr>
              <w:widowControl/>
              <w:autoSpaceDE w:val="0"/>
              <w:spacing w:line="360" w:lineRule="exact"/>
              <w:jc w:val="center"/>
              <w:textAlignment w:val="center"/>
              <w:rPr>
                <w:rFonts w:hint="eastAsia"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w:t>
            </w:r>
          </w:p>
        </w:tc>
        <w:tc>
          <w:tcPr>
            <w:tcW w:w="1199" w:type="dxa"/>
            <w:noWrap w:val="0"/>
            <w:vAlign w:val="center"/>
          </w:tcPr>
          <w:p>
            <w:pPr>
              <w:widowControl/>
              <w:autoSpaceDE w:val="0"/>
              <w:spacing w:line="360" w:lineRule="exact"/>
              <w:jc w:val="center"/>
              <w:textAlignment w:val="center"/>
              <w:rPr>
                <w:rFonts w:ascii="Times New Roman" w:hAnsi="Times New Roman" w:eastAsia="仿宋"/>
                <w:color w:val="000000"/>
                <w:kern w:val="0"/>
                <w:sz w:val="22"/>
                <w:highlight w:val="none"/>
              </w:rPr>
            </w:pPr>
            <w:r>
              <w:rPr>
                <w:rFonts w:hint="eastAsia" w:ascii="Times New Roman" w:hAnsi="Times New Roman" w:eastAsia="等线" w:cs="Times New Roman"/>
                <w:szCs w:val="21"/>
                <w:highlight w:val="none"/>
              </w:rPr>
              <w:t>35周岁及以下</w:t>
            </w: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1、负责项目规划方案、设计方案的制定、审核与优化等工作</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2、负责组织项目设计过程中各项报批报建、专家评审工作</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等线" w:cs="Times New Roman"/>
                <w:szCs w:val="21"/>
                <w:highlight w:val="none"/>
                <w:lang w:val="en-US" w:eastAsia="zh-CN"/>
              </w:rPr>
              <w:t>3、负责跟进项目规划设计工作进展，协调设计工作存在问题，确保工程设计按计划节点推进</w:t>
            </w:r>
            <w:r>
              <w:rPr>
                <w:rFonts w:hint="eastAsia" w:ascii="Times New Roman" w:hAnsi="Times New Roman" w:eastAsia="等线" w:cs="Times New Roman"/>
                <w:szCs w:val="21"/>
                <w:highlight w:val="none"/>
                <w:lang w:val="en-US" w:eastAsia="zh-CN"/>
              </w:rPr>
              <w:t>；</w:t>
            </w:r>
          </w:p>
          <w:p>
            <w:pPr>
              <w:widowControl/>
              <w:numPr>
                <w:ilvl w:val="0"/>
                <w:numId w:val="0"/>
              </w:numPr>
              <w:autoSpaceDE w:val="0"/>
              <w:spacing w:line="360" w:lineRule="exact"/>
              <w:jc w:val="left"/>
              <w:textAlignment w:val="center"/>
              <w:rPr>
                <w:rFonts w:hint="default"/>
                <w:lang w:val="en-US" w:eastAsia="zh-CN"/>
              </w:rPr>
            </w:pPr>
            <w:r>
              <w:rPr>
                <w:rFonts w:hint="eastAsia" w:ascii="Times New Roman" w:hAnsi="Times New Roman" w:eastAsia="等线" w:cs="Times New Roman"/>
                <w:szCs w:val="21"/>
                <w:highlight w:val="none"/>
                <w:lang w:val="en-US" w:eastAsia="zh-CN"/>
              </w:rPr>
              <w:t>4、根据上级要求完成公司安排的其他工作。</w:t>
            </w: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1、全日制普通高等院校本科及以上学历，城乡规划、交通规划、城市设计、交通运输等相关专业，具有相应学历、学位证书，具有相关中级职称或职业资格证书者优先；</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2、具有三年及以上公路工程前期规划、工程设计等类似岗位工作经验（须提供相关工作证明）；</w:t>
            </w:r>
          </w:p>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r>
              <w:rPr>
                <w:rFonts w:hint="eastAsia" w:ascii="Times New Roman" w:hAnsi="Times New Roman" w:eastAsia="等线" w:cs="Times New Roman"/>
                <w:szCs w:val="21"/>
                <w:highlight w:val="none"/>
                <w:lang w:val="en-US" w:eastAsia="zh-CN"/>
              </w:rPr>
              <w:t>3、品行端正，身体健康，具有良好的团队合作精神和强烈的工作责任心，能适应出差、加班。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426" w:type="dxa"/>
            <w:gridSpan w:val="2"/>
            <w:noWrap/>
            <w:vAlign w:val="center"/>
          </w:tcPr>
          <w:p>
            <w:pPr>
              <w:widowControl/>
              <w:autoSpaceDE w:val="0"/>
              <w:spacing w:line="360" w:lineRule="exact"/>
              <w:jc w:val="center"/>
              <w:textAlignment w:val="center"/>
              <w:rPr>
                <w:rStyle w:val="7"/>
                <w:rFonts w:hint="default" w:ascii="Times New Roman" w:hAnsi="Times New Roman" w:eastAsia="黑体" w:cs="Times New Roman"/>
                <w:sz w:val="24"/>
                <w:szCs w:val="24"/>
                <w:highlight w:val="none"/>
                <w:lang w:val="en-US" w:eastAsia="zh-CN"/>
              </w:rPr>
            </w:pPr>
            <w:r>
              <w:rPr>
                <w:rStyle w:val="7"/>
                <w:rFonts w:hint="eastAsia" w:ascii="Times New Roman" w:hAnsi="Times New Roman" w:eastAsia="黑体" w:cs="Times New Roman"/>
                <w:sz w:val="24"/>
                <w:szCs w:val="24"/>
                <w:highlight w:val="none"/>
                <w:lang w:val="en-US" w:eastAsia="zh-CN"/>
              </w:rPr>
              <w:t>合计</w:t>
            </w:r>
          </w:p>
        </w:tc>
        <w:tc>
          <w:tcPr>
            <w:tcW w:w="770" w:type="dxa"/>
            <w:noWrap w:val="0"/>
            <w:vAlign w:val="center"/>
          </w:tcPr>
          <w:p>
            <w:pPr>
              <w:widowControl/>
              <w:autoSpaceDE w:val="0"/>
              <w:spacing w:line="360" w:lineRule="exact"/>
              <w:jc w:val="center"/>
              <w:textAlignment w:val="center"/>
              <w:rPr>
                <w:rFonts w:hint="default" w:ascii="Times New Roman" w:hAnsi="Times New Roman" w:eastAsia="等线"/>
                <w:color w:val="000000"/>
                <w:kern w:val="0"/>
                <w:sz w:val="24"/>
                <w:szCs w:val="24"/>
                <w:highlight w:val="none"/>
                <w:lang w:val="en-US" w:eastAsia="zh-CN"/>
              </w:rPr>
            </w:pPr>
            <w:r>
              <w:rPr>
                <w:rFonts w:hint="eastAsia" w:ascii="Times New Roman" w:hAnsi="Times New Roman" w:eastAsia="等线"/>
                <w:color w:val="000000"/>
                <w:kern w:val="0"/>
                <w:sz w:val="24"/>
                <w:szCs w:val="24"/>
                <w:highlight w:val="none"/>
                <w:lang w:val="en-US" w:eastAsia="zh-CN"/>
              </w:rPr>
              <w:t>11</w:t>
            </w:r>
          </w:p>
        </w:tc>
        <w:tc>
          <w:tcPr>
            <w:tcW w:w="1199" w:type="dxa"/>
            <w:noWrap w:val="0"/>
            <w:vAlign w:val="center"/>
          </w:tcPr>
          <w:p>
            <w:pPr>
              <w:widowControl/>
              <w:autoSpaceDE w:val="0"/>
              <w:spacing w:line="360" w:lineRule="exact"/>
              <w:jc w:val="center"/>
              <w:textAlignment w:val="center"/>
              <w:rPr>
                <w:rFonts w:hint="eastAsia" w:ascii="Times New Roman" w:hAnsi="Times New Roman" w:eastAsia="等线" w:cs="Times New Roman"/>
                <w:szCs w:val="21"/>
                <w:highlight w:val="none"/>
              </w:rPr>
            </w:pPr>
          </w:p>
        </w:tc>
        <w:tc>
          <w:tcPr>
            <w:tcW w:w="4736" w:type="dxa"/>
            <w:noWrap w:val="0"/>
            <w:vAlign w:val="center"/>
          </w:tcPr>
          <w:p>
            <w:pPr>
              <w:widowControl/>
              <w:numPr>
                <w:ilvl w:val="0"/>
                <w:numId w:val="0"/>
              </w:numPr>
              <w:autoSpaceDE w:val="0"/>
              <w:spacing w:line="360" w:lineRule="exact"/>
              <w:jc w:val="left"/>
              <w:textAlignment w:val="center"/>
              <w:rPr>
                <w:rFonts w:hint="default" w:ascii="Times New Roman" w:hAnsi="Times New Roman" w:eastAsia="等线" w:cs="Times New Roman"/>
                <w:szCs w:val="21"/>
                <w:highlight w:val="none"/>
                <w:lang w:val="en-US" w:eastAsia="zh-CN"/>
              </w:rPr>
            </w:pPr>
          </w:p>
        </w:tc>
        <w:tc>
          <w:tcPr>
            <w:tcW w:w="6518" w:type="dxa"/>
            <w:noWrap w:val="0"/>
            <w:vAlign w:val="center"/>
          </w:tcPr>
          <w:p>
            <w:pPr>
              <w:widowControl/>
              <w:numPr>
                <w:ilvl w:val="0"/>
                <w:numId w:val="0"/>
              </w:numPr>
              <w:autoSpaceDE w:val="0"/>
              <w:spacing w:line="360" w:lineRule="exact"/>
              <w:jc w:val="left"/>
              <w:textAlignment w:val="center"/>
              <w:rPr>
                <w:rFonts w:hint="eastAsia" w:ascii="Times New Roman" w:hAnsi="Times New Roman" w:eastAsia="等线" w:cs="Times New Roman"/>
                <w:szCs w:val="21"/>
                <w:highlight w:val="none"/>
                <w:lang w:val="en-US" w:eastAsia="zh-CN"/>
              </w:rPr>
            </w:pPr>
          </w:p>
        </w:tc>
      </w:tr>
    </w:tbl>
    <w:p/>
    <w:sectPr>
      <w:pgSz w:w="16838" w:h="23811"/>
      <w:pgMar w:top="1440" w:right="24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NGFkMGY1NDNlNWJkYzM1MDUwYzRjODM3OGFjZWYifQ=="/>
  </w:docVars>
  <w:rsids>
    <w:rsidRoot w:val="00000000"/>
    <w:rsid w:val="0D5C45C0"/>
    <w:rsid w:val="27787DF0"/>
    <w:rsid w:val="318F2126"/>
    <w:rsid w:val="40C652D1"/>
    <w:rsid w:val="57FA479D"/>
    <w:rsid w:val="64D0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16"/>
    <w:uiPriority w:val="0"/>
    <w:rPr>
      <w:rFonts w:hint="eastAsia" w:ascii="黑体" w:hAnsi="宋体" w:eastAsia="黑体"/>
      <w:color w:val="000000"/>
      <w:sz w:val="24"/>
      <w:szCs w:val="24"/>
    </w:rPr>
  </w:style>
  <w:style w:type="character" w:customStyle="1" w:styleId="7">
    <w:name w:val="15"/>
    <w:uiPriority w:val="0"/>
    <w:rPr>
      <w:rFonts w:hint="eastAsia" w:ascii="黑体" w:hAnsi="宋体" w:eastAsia="黑体"/>
      <w:color w:val="000000"/>
      <w:sz w:val="22"/>
      <w:szCs w:val="22"/>
    </w:rPr>
  </w:style>
  <w:style w:type="character" w:customStyle="1" w:styleId="8">
    <w:name w:val="19"/>
    <w:uiPriority w:val="0"/>
    <w:rPr>
      <w:rFonts w:hint="eastAsia" w:ascii="仿宋" w:hAnsi="仿宋" w:eastAsia="仿宋"/>
      <w:color w:val="000000"/>
      <w:sz w:val="22"/>
      <w:szCs w:val="22"/>
    </w:rPr>
  </w:style>
  <w:style w:type="character" w:customStyle="1" w:styleId="9">
    <w:name w:val="18"/>
    <w:qFormat/>
    <w:uiPriority w:val="0"/>
    <w:rPr>
      <w:rFonts w:hint="eastAsia" w:ascii="仿宋" w:hAnsi="仿宋" w:eastAsia="仿宋"/>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2023-11-23T03:10:23Z</dcterms:created>
  <dc:creator>windows</dc:creator>
  <cp:lastModifiedBy>科研败犬</cp:lastModifiedBy>
  <dcterms:modified xsi:type="dcterms:W3CDTF">2023-11-23T03:12:16Z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92282F137F294FA593010319D66B576A_12</vt:lpwstr>
  </property>
</Properties>
</file>