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60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pStyle w:val="3"/>
        <w:shd w:val="clear" w:color="auto" w:fill="FFFFFF"/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太湖县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统计局公开选调工作人员职位表</w:t>
      </w:r>
    </w:p>
    <w:bookmarkEnd w:id="0"/>
    <w:tbl>
      <w:tblPr>
        <w:tblStyle w:val="4"/>
        <w:tblpPr w:leftFromText="180" w:rightFromText="180" w:vertAnchor="text" w:horzAnchor="page" w:tblpXSpec="center" w:tblpY="483"/>
        <w:tblOverlap w:val="never"/>
        <w:tblW w:w="101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1"/>
        <w:gridCol w:w="954"/>
        <w:gridCol w:w="1080"/>
        <w:gridCol w:w="1080"/>
        <w:gridCol w:w="988"/>
        <w:gridCol w:w="1883"/>
        <w:gridCol w:w="945"/>
        <w:gridCol w:w="11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  <w:t>职位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楷体_GB2312" w:eastAsia="楷体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  <w:t>拟选调</w:t>
            </w:r>
          </w:p>
          <w:p>
            <w:pPr>
              <w:widowControl/>
              <w:jc w:val="center"/>
              <w:textAlignment w:val="center"/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简介</w:t>
            </w:r>
          </w:p>
        </w:tc>
        <w:tc>
          <w:tcPr>
            <w:tcW w:w="48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  <w:t>选调人员条件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hAnsi="楷体_GB2312" w:eastAsia="楷体_GB2312"/>
                <w:b/>
                <w:bCs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楷体_GB2312"/>
                <w:b/>
                <w:bCs/>
                <w:sz w:val="24"/>
                <w:lang w:eastAsia="zh-CN"/>
              </w:rPr>
            </w:pPr>
            <w:r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Ansi="楷体_GB2312" w:eastAsia="楷体_GB2312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hAnsi="楷体_GB2312" w:eastAsia="楷体_GB2312"/>
                <w:b/>
                <w:bCs/>
                <w:kern w:val="0"/>
                <w:sz w:val="24"/>
                <w:lang w:eastAsia="zh-CN" w:bidi="ar"/>
              </w:rPr>
              <w:t>其他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  <w:jc w:val="center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太湖县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普查中心</w:t>
            </w:r>
            <w:r>
              <w:rPr>
                <w:rFonts w:hint="eastAsia" w:eastAsia="仿宋_GB2312"/>
                <w:kern w:val="0"/>
                <w:sz w:val="24"/>
                <w:lang w:bidi="ar"/>
              </w:rPr>
              <w:t>工作人员</w:t>
            </w: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202301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从事统计工作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eastAsia="仿宋_GB2312"/>
                <w:kern w:val="0"/>
                <w:sz w:val="24"/>
                <w:lang w:bidi="ar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大学专科及以上学历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经济学门类、管理学门类（工商管理类、农业经济管理类）、理学门类（数学类、统计学类）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限男性报考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7" w:hRule="atLeast"/>
          <w:jc w:val="center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太湖县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普查中心</w:t>
            </w:r>
            <w:r>
              <w:rPr>
                <w:rFonts w:hint="eastAsia" w:eastAsia="仿宋_GB2312"/>
                <w:kern w:val="0"/>
                <w:sz w:val="24"/>
                <w:lang w:bidi="ar"/>
              </w:rPr>
              <w:t>工作人员</w:t>
            </w: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202302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从事统计工作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bidi="ar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eastAsia="仿宋_GB2312"/>
                <w:kern w:val="0"/>
                <w:sz w:val="24"/>
                <w:lang w:bidi="ar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及以下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大学专科及以上学历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 w:bidi="ar"/>
              </w:rPr>
              <w:t>经济学门类、管理学门类（工商管理类、农业经济管理类）、理学门类（数学类、统计学类）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限女性报考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3"/>
        <w:shd w:val="clear" w:color="auto" w:fill="FFFFFF"/>
        <w:spacing w:line="60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B8F7D98-E7DB-42EA-9705-6B71D61F359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6422218-4036-48E3-B6EE-9BF9280DCB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2422F6C-13BF-40D5-94F8-E50AD9B378C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0DA3B57-BB7E-4AE5-97B2-96903525C2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MTU5YWU0NjAzODIwM2ZjY2RmYTRiNjRjOWZlZGEifQ=="/>
  </w:docVars>
  <w:rsids>
    <w:rsidRoot w:val="632851E9"/>
    <w:rsid w:val="632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2023-10-24T12:45:00Z</dcterms:created>
  <dc:creator>Administrator</dc:creator>
  <cp:lastModifiedBy>Administrator</cp:lastModifiedBy>
  <dcterms:modified xsi:type="dcterms:W3CDTF">2023-10-24T12:46:12Z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66B8FA8EA74E46E4B7950A759B76DE8C_11</vt:lpwstr>
  </property>
</Properties>
</file>