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盐城市住房和城乡建设局部分直属事业单位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2023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工作人员岗位表</w:t>
      </w:r>
    </w:p>
    <w:tbl>
      <w:tblPr>
        <w:tblW w:w="143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670"/>
        <w:gridCol w:w="702"/>
        <w:gridCol w:w="1099"/>
        <w:gridCol w:w="670"/>
        <w:gridCol w:w="719"/>
        <w:gridCol w:w="702"/>
        <w:gridCol w:w="870"/>
        <w:gridCol w:w="1742"/>
        <w:gridCol w:w="1865"/>
        <w:gridCol w:w="839"/>
        <w:gridCol w:w="1742"/>
        <w:gridCol w:w="18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经费来源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岗位描述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开考比例</w:t>
            </w:r>
          </w:p>
        </w:tc>
        <w:tc>
          <w:tcPr>
            <w:tcW w:w="53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招聘条件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面试形式及所占比例</w:t>
            </w: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政策咨询电话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条件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盐城市燃气事业发展中心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全额拨款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从事燃气安全技术等相关工作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年毕业生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油气储运工程；供热、供燃气、通风及空调工程；石油与天然气工程；建筑环境与设备工程；建筑环境与能源应用工程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0515-88162898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盐城市城乡建设与园林科学研究所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差额补贴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从事文字综合等工作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中文文秘类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取得相应学位，在地市级及以上期刊发表3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篇以上文章，并有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年以上工作经历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线下复核时需提供纸质期刊、工作经历证明材料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0515-88587709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盐城市路灯管理处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差额补贴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从事文字综合等工作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年毕业生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中文文秘类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0515-88413773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盐城市住房保障中心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自收自支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从事棚改安置房项目管理推进和报表填报工作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工商管理类、建筑工程类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取得相应学位，具有3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年以上工作经历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0515-81611305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盐城市住房和城乡建设信息中心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自收自支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从事文字综合等工作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中文文秘类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取得相应学位，在地市级及以上期刊发表3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篇以上文章，并有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bdr w:val="none" w:color="auto" w:sz="0" w:space="0"/>
              </w:rPr>
              <w:t>年以上工作经历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结构化面试50%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线下复核时需提供纸质期刊、工作经历证明材料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0515-81610205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5EF52BF0"/>
    <w:rsid w:val="5EF5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659</Characters>
  <Lines>0</Lines>
  <Paragraphs>0</Paragraphs>
  <TotalTime>1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2023-09-15T00:57:00Z</dcterms:created>
  <dc:creator>120553</dc:creator>
  <cp:lastModifiedBy>popoaaa</cp:lastModifiedBy>
  <dcterms:modified xsi:type="dcterms:W3CDTF">2023-09-15T00:58:15Z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8AE696FC0BF44EACBCCF215E9786A80C_11</vt:lpwstr>
  </property>
</Properties>
</file>