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hint="eastAsia" w:ascii="黑体" w:hAnsi="黑体" w:eastAsia="黑体" w:cs="黑体"/>
          <w:color w:val="333333"/>
          <w:sz w:val="32"/>
          <w:szCs w:val="32"/>
          <w:highlight w:val="none"/>
          <w:lang w:val="en-US" w:eastAsia="zh-CN"/>
        </w:rPr>
      </w:pPr>
      <w:r>
        <w:rPr>
          <w:rFonts w:hint="eastAsia" w:ascii="黑体" w:hAnsi="黑体" w:eastAsia="黑体" w:cs="黑体"/>
          <w:color w:val="333333"/>
          <w:sz w:val="32"/>
          <w:szCs w:val="32"/>
          <w:highlight w:val="none"/>
          <w:lang w:val="en-US" w:eastAsia="zh-CN"/>
        </w:rPr>
        <w:t>附件1：</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薪酬和考核相关规定</w:t>
      </w:r>
    </w:p>
    <w:p>
      <w:pPr>
        <w:rPr>
          <w:rFonts w:hint="eastAsia"/>
          <w:highlight w:val="none"/>
          <w:lang w:val="en-US" w:eastAsia="zh-CN"/>
        </w:rPr>
      </w:pPr>
    </w:p>
    <w:p>
      <w:pPr>
        <w:pStyle w:val="3"/>
        <w:numPr>
          <w:ilvl w:val="0"/>
          <w:numId w:val="0"/>
        </w:numPr>
        <w:spacing w:line="560" w:lineRule="exact"/>
        <w:ind w:left="630" w:leftChars="0"/>
        <w:rPr>
          <w:rFonts w:hint="eastAsia" w:ascii="黑体" w:hAnsi="黑体" w:eastAsia="黑体"/>
          <w:sz w:val="32"/>
          <w:szCs w:val="32"/>
          <w:highlight w:val="none"/>
        </w:rPr>
      </w:pP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薪酬标准</w:t>
      </w:r>
    </w:p>
    <w:p>
      <w:pPr>
        <w:pStyle w:val="7"/>
        <w:widowControl/>
        <w:spacing w:beforeAutospacing="0" w:afterAutospacing="0" w:line="560" w:lineRule="exact"/>
        <w:ind w:firstLine="672" w:firstLineChars="200"/>
        <w:jc w:val="both"/>
        <w:rPr>
          <w:rStyle w:val="11"/>
          <w:rFonts w:hint="default"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pPr>
      <w:r>
        <w:rPr>
          <w:rStyle w:val="11"/>
          <w:rFonts w:hint="eastAsia" w:ascii="楷体" w:hAnsi="楷体" w:eastAsia="楷体" w:cs="仿宋_GB2312"/>
          <w:b w:val="0"/>
          <w:color w:val="000000" w:themeColor="text1"/>
          <w:spacing w:val="8"/>
          <w:sz w:val="32"/>
          <w:szCs w:val="32"/>
          <w:highlight w:val="none"/>
          <w:shd w:val="clear" w:color="auto" w:fill="FFFFFF"/>
          <w:lang w:eastAsia="zh-CN"/>
          <w14:textFill>
            <w14:solidFill>
              <w14:schemeClr w14:val="tx1"/>
            </w14:solidFill>
          </w14:textFill>
        </w:rPr>
        <w:t>（</w:t>
      </w:r>
      <w:r>
        <w:rPr>
          <w:rStyle w:val="11"/>
          <w:rFonts w:hint="eastAsia"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t>一</w:t>
      </w:r>
      <w:r>
        <w:rPr>
          <w:rStyle w:val="11"/>
          <w:rFonts w:hint="eastAsia" w:ascii="楷体" w:hAnsi="楷体" w:eastAsia="楷体" w:cs="仿宋_GB2312"/>
          <w:b w:val="0"/>
          <w:color w:val="000000" w:themeColor="text1"/>
          <w:spacing w:val="8"/>
          <w:sz w:val="32"/>
          <w:szCs w:val="32"/>
          <w:highlight w:val="none"/>
          <w:shd w:val="clear" w:color="auto" w:fill="FFFFFF"/>
          <w:lang w:eastAsia="zh-CN"/>
          <w14:textFill>
            <w14:solidFill>
              <w14:schemeClr w14:val="tx1"/>
            </w14:solidFill>
          </w14:textFill>
        </w:rPr>
        <w:t>）</w:t>
      </w:r>
      <w:r>
        <w:rPr>
          <w:rStyle w:val="11"/>
          <w:rFonts w:hint="eastAsia"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t>薪酬水平和结构</w:t>
      </w:r>
    </w:p>
    <w:p>
      <w:pPr>
        <w:pStyle w:val="7"/>
        <w:widowControl/>
        <w:spacing w:beforeAutospacing="0" w:afterAutospacing="0" w:line="560" w:lineRule="exact"/>
        <w:ind w:firstLine="640" w:firstLineChars="200"/>
        <w:jc w:val="both"/>
        <w:rPr>
          <w:rFonts w:hint="eastAsia" w:ascii="华文行楷" w:hAnsi="华文行楷" w:eastAsia="华文行楷" w:cs="华文行楷"/>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职业经理人薪酬由</w:t>
      </w:r>
      <w:r>
        <w:rPr>
          <w:rFonts w:hint="eastAsia" w:ascii="仿宋" w:hAnsi="仿宋" w:eastAsia="仿宋" w:cs="仿宋"/>
          <w:color w:val="000000" w:themeColor="text1"/>
          <w:sz w:val="32"/>
          <w:szCs w:val="32"/>
          <w:highlight w:val="none"/>
          <w14:textFill>
            <w14:solidFill>
              <w14:schemeClr w14:val="tx1"/>
            </w14:solidFill>
          </w14:textFill>
        </w:rPr>
        <w:t>基本年薪、绩效年薪、任期激励</w:t>
      </w:r>
      <w:r>
        <w:rPr>
          <w:rFonts w:hint="eastAsia" w:ascii="仿宋" w:hAnsi="仿宋" w:eastAsia="仿宋" w:cs="仿宋"/>
          <w:color w:val="000000" w:themeColor="text1"/>
          <w:sz w:val="32"/>
          <w:szCs w:val="32"/>
          <w:highlight w:val="none"/>
          <w:lang w:val="en-US" w:eastAsia="zh-CN"/>
          <w14:textFill>
            <w14:solidFill>
              <w14:schemeClr w14:val="tx1"/>
            </w14:solidFill>
          </w14:textFill>
        </w:rPr>
        <w:t>三部分构成</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4"/>
        <w:numPr>
          <w:ilvl w:val="0"/>
          <w:numId w:val="0"/>
        </w:numPr>
        <w:spacing w:after="0" w:line="560" w:lineRule="exact"/>
        <w:ind w:leftChars="200"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1.基本年薪和绩效年薪总和为40万元/年。</w:t>
      </w:r>
    </w:p>
    <w:p>
      <w:pPr>
        <w:pStyle w:val="4"/>
        <w:numPr>
          <w:ilvl w:val="-1"/>
          <w:numId w:val="0"/>
        </w:numPr>
        <w:spacing w:after="0" w:line="560" w:lineRule="exact"/>
        <w:ind w:left="0" w:leftChars="0"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基本年薪</w:t>
      </w:r>
      <w:r>
        <w:rPr>
          <w:rFonts w:hint="eastAsia" w:ascii="仿宋" w:hAnsi="仿宋" w:eastAsia="仿宋" w:cs="仿宋"/>
          <w:sz w:val="32"/>
          <w:szCs w:val="32"/>
          <w:highlight w:val="none"/>
          <w:lang w:val="en-US" w:eastAsia="zh-CN"/>
        </w:rPr>
        <w:t>为14万元/年，</w:t>
      </w:r>
      <w:r>
        <w:rPr>
          <w:rFonts w:hint="eastAsia" w:ascii="仿宋" w:hAnsi="仿宋" w:eastAsia="仿宋" w:cs="仿宋"/>
          <w:sz w:val="32"/>
          <w:szCs w:val="32"/>
          <w:highlight w:val="none"/>
        </w:rPr>
        <w:t>是职业经理人的年度基本收入，</w:t>
      </w:r>
      <w:r>
        <w:rPr>
          <w:rFonts w:hint="eastAsia" w:ascii="仿宋" w:hAnsi="仿宋" w:eastAsia="仿宋" w:cs="仿宋"/>
          <w:sz w:val="32"/>
          <w:szCs w:val="32"/>
          <w:highlight w:val="none"/>
          <w:lang w:val="en-US" w:eastAsia="zh-CN"/>
        </w:rPr>
        <w:t>以</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度</w:t>
      </w:r>
      <w:r>
        <w:rPr>
          <w:rFonts w:hint="eastAsia" w:ascii="仿宋" w:hAnsi="仿宋" w:eastAsia="仿宋" w:cs="仿宋"/>
          <w:sz w:val="32"/>
          <w:szCs w:val="32"/>
          <w:highlight w:val="none"/>
        </w:rPr>
        <w:t>固定</w:t>
      </w:r>
      <w:r>
        <w:rPr>
          <w:rFonts w:hint="eastAsia" w:ascii="仿宋" w:hAnsi="仿宋" w:eastAsia="仿宋" w:cs="仿宋"/>
          <w:sz w:val="32"/>
          <w:szCs w:val="32"/>
          <w:highlight w:val="none"/>
          <w:lang w:val="en-US" w:eastAsia="zh-CN"/>
        </w:rPr>
        <w:t>工资的形式分12个月</w:t>
      </w:r>
      <w:r>
        <w:rPr>
          <w:rFonts w:hint="eastAsia" w:ascii="仿宋" w:hAnsi="仿宋" w:eastAsia="仿宋" w:cs="仿宋"/>
          <w:sz w:val="32"/>
          <w:szCs w:val="32"/>
          <w:highlight w:val="none"/>
        </w:rPr>
        <w:t>发放。</w:t>
      </w:r>
    </w:p>
    <w:p>
      <w:pPr>
        <w:pStyle w:val="4"/>
        <w:spacing w:after="0" w:line="56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绩效年薪</w:t>
      </w:r>
      <w:r>
        <w:rPr>
          <w:rFonts w:hint="eastAsia" w:ascii="仿宋" w:hAnsi="仿宋" w:eastAsia="仿宋" w:cs="仿宋"/>
          <w:sz w:val="32"/>
          <w:szCs w:val="32"/>
          <w:highlight w:val="none"/>
          <w:lang w:val="en-US" w:eastAsia="zh-CN"/>
        </w:rPr>
        <w:t>为26万元/年，</w:t>
      </w:r>
      <w:r>
        <w:rPr>
          <w:rFonts w:hint="eastAsia" w:ascii="仿宋" w:hAnsi="仿宋" w:eastAsia="仿宋" w:cs="仿宋"/>
          <w:sz w:val="32"/>
          <w:szCs w:val="32"/>
          <w:highlight w:val="none"/>
        </w:rPr>
        <w:t>是与职业经理人年度经营业绩考核结果挂钩的浮动收入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绩效年薪按照“月度预发，年度结算”的方式发放，按照绩效年薪的65%的比例随月预发，差额部分在次年年度考核后一次性兑付（多退少补）。</w:t>
      </w:r>
      <w:r>
        <w:rPr>
          <w:rFonts w:hint="eastAsia" w:ascii="仿宋" w:hAnsi="仿宋" w:eastAsia="仿宋" w:cs="仿宋"/>
          <w:sz w:val="32"/>
          <w:szCs w:val="32"/>
          <w:highlight w:val="none"/>
        </w:rPr>
        <w:t>年度综合考核评价结果为不胜任的，不得领取绩效年薪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已预发的部分予以退回。</w:t>
      </w:r>
    </w:p>
    <w:p>
      <w:pPr>
        <w:pStyle w:val="4"/>
        <w:spacing w:after="0" w:line="56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color w:val="000000" w:themeColor="text1"/>
          <w:sz w:val="32"/>
          <w:szCs w:val="32"/>
          <w:highlight w:val="none"/>
          <w14:textFill>
            <w14:solidFill>
              <w14:schemeClr w14:val="tx1"/>
            </w14:solidFill>
          </w14:textFill>
        </w:rPr>
        <w:t>任期激励</w:t>
      </w:r>
      <w:r>
        <w:rPr>
          <w:rFonts w:hint="eastAsia" w:ascii="仿宋" w:hAnsi="仿宋" w:eastAsia="仿宋" w:cs="仿宋"/>
          <w:color w:val="000000" w:themeColor="text1"/>
          <w:sz w:val="32"/>
          <w:szCs w:val="32"/>
          <w:highlight w:val="none"/>
          <w:lang w:val="en-US" w:eastAsia="zh-CN"/>
          <w14:textFill>
            <w14:solidFill>
              <w14:schemeClr w14:val="tx1"/>
            </w14:solidFill>
          </w14:textFill>
        </w:rPr>
        <w:t>为30万元/任期，即平均</w:t>
      </w:r>
      <w:r>
        <w:rPr>
          <w:rFonts w:hint="eastAsia" w:ascii="仿宋" w:hAnsi="仿宋" w:eastAsia="仿宋" w:cs="仿宋"/>
          <w:sz w:val="32"/>
          <w:szCs w:val="32"/>
          <w:highlight w:val="none"/>
          <w:lang w:val="en-US" w:eastAsia="zh-CN"/>
        </w:rPr>
        <w:t>10万/年。</w:t>
      </w:r>
      <w:r>
        <w:rPr>
          <w:rFonts w:hint="eastAsia" w:ascii="仿宋" w:hAnsi="仿宋" w:eastAsia="仿宋" w:cs="仿宋"/>
          <w:color w:val="000000" w:themeColor="text1"/>
          <w:sz w:val="32"/>
          <w:szCs w:val="32"/>
          <w:highlight w:val="none"/>
          <w14:textFill>
            <w14:solidFill>
              <w14:schemeClr w14:val="tx1"/>
            </w14:solidFill>
          </w14:textFill>
        </w:rPr>
        <w:t>任期激励是与职业经理人任期经营业绩考核结果挂钩的收入</w:t>
      </w:r>
      <w:r>
        <w:rPr>
          <w:rFonts w:hint="eastAsia" w:ascii="仿宋" w:hAnsi="仿宋" w:eastAsia="仿宋" w:cs="仿宋"/>
          <w:sz w:val="32"/>
          <w:szCs w:val="32"/>
          <w:highlight w:val="none"/>
        </w:rPr>
        <w:t>，任期结束后按任期考核结果予以发放。任期综合考核评价结果为不胜任的，不得领取任期激励收入。</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val="en-US" w:eastAsia="zh-CN"/>
        </w:rPr>
        <w:t>3.职业经理人以下三种情形解除（终止）聘任和劳动关系的，且经离任审计无遗留问题，并完成离职交接的，可根据年度（任期）考核评价结果，按照岗位任职时间，领取相应的绩效年薪（任期激励）收入。（1）任期内因个人原因离职，且提前2个月向董事会提交离职申请，经与公司</w:t>
      </w:r>
      <w:r>
        <w:rPr>
          <w:rFonts w:hint="eastAsia" w:ascii="仿宋" w:hAnsi="仿宋" w:eastAsia="仿宋" w:cs="仿宋"/>
          <w:color w:val="000000" w:themeColor="text1"/>
          <w:sz w:val="32"/>
          <w:szCs w:val="32"/>
          <w:highlight w:val="none"/>
          <w:lang w:val="en-US" w:eastAsia="zh-CN"/>
          <w14:textFill>
            <w14:solidFill>
              <w14:schemeClr w14:val="tx1"/>
            </w14:solidFill>
          </w14:textFill>
        </w:rPr>
        <w:t>协商一致解除聘任合同的</w:t>
      </w:r>
      <w:r>
        <w:rPr>
          <w:rFonts w:hint="eastAsia" w:ascii="仿宋" w:hAnsi="仿宋" w:eastAsia="仿宋" w:cs="仿宋"/>
          <w:sz w:val="32"/>
          <w:szCs w:val="32"/>
          <w:highlight w:val="none"/>
          <w:lang w:val="en-US" w:eastAsia="zh-CN"/>
        </w:rPr>
        <w:t>；（2）任期届满考核合格但不再续聘的；（3）达到法定退休年龄的。</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val="en-US" w:eastAsia="zh-CN"/>
        </w:rPr>
        <w:t>4.职业经理人以下五种情形解除（终止）聘任和劳动关系的，原则上不得兑现当年绩效年薪、任期激励和其他中长期激励收入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经营业绩考核</w:t>
      </w:r>
      <w:r>
        <w:rPr>
          <w:rFonts w:hint="eastAsia" w:ascii="仿宋" w:hAnsi="仿宋" w:eastAsia="仿宋" w:cs="仿宋"/>
          <w:color w:val="000000" w:themeColor="text1"/>
          <w:sz w:val="32"/>
          <w:szCs w:val="32"/>
          <w:highlight w:val="none"/>
          <w:lang w:val="en-US" w:eastAsia="zh-CN"/>
          <w14:textFill>
            <w14:solidFill>
              <w14:schemeClr w14:val="tx1"/>
            </w14:solidFill>
          </w14:textFill>
        </w:rPr>
        <w:t>不达标的；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年度或任期综合</w:t>
      </w:r>
      <w:r>
        <w:rPr>
          <w:rFonts w:hint="eastAsia" w:ascii="仿宋" w:hAnsi="仿宋" w:eastAsia="仿宋" w:cs="仿宋"/>
          <w:color w:val="auto"/>
          <w:sz w:val="32"/>
          <w:szCs w:val="32"/>
          <w:highlight w:val="none"/>
        </w:rPr>
        <w:t>考核结果为不胜任</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或连续两年</w:t>
      </w:r>
      <w:r>
        <w:rPr>
          <w:rFonts w:hint="eastAsia" w:ascii="仿宋" w:hAnsi="仿宋" w:eastAsia="仿宋" w:cs="仿宋"/>
          <w:color w:val="auto"/>
          <w:sz w:val="32"/>
          <w:szCs w:val="32"/>
          <w:highlight w:val="none"/>
          <w:lang w:val="en-US" w:eastAsia="zh-CN"/>
        </w:rPr>
        <w:t>年度综合</w:t>
      </w:r>
      <w:r>
        <w:rPr>
          <w:rFonts w:hint="eastAsia" w:ascii="仿宋" w:hAnsi="仿宋" w:eastAsia="仿宋" w:cs="仿宋"/>
          <w:color w:val="auto"/>
          <w:sz w:val="32"/>
          <w:szCs w:val="32"/>
          <w:highlight w:val="none"/>
        </w:rPr>
        <w:t>考核结果均为基本胜任的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（3）因严重违纪违法、严重违法企业管理制度被追究相关责任的。（4）聘任期间有重大失误造成严重损失或者不良后果的。（5）未经批准擅自离职的，或</w:t>
      </w:r>
      <w:r>
        <w:rPr>
          <w:rFonts w:hint="eastAsia" w:ascii="仿宋" w:hAnsi="仿宋" w:eastAsia="仿宋" w:cs="仿宋"/>
          <w:sz w:val="32"/>
          <w:szCs w:val="32"/>
          <w:highlight w:val="none"/>
          <w:lang w:val="en-US" w:eastAsia="zh-CN"/>
        </w:rPr>
        <w:t>离任审计存在重大问题的，或未完成离职交接的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4"/>
        <w:spacing w:after="0" w:line="560" w:lineRule="exact"/>
        <w:ind w:left="0" w:leftChars="0"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职业经理人在任期内出现重大失误，给企业造成重大损失的，应当追索扣回部分或者全部已支付绩效年薪、任期激励收入、中长期激励收入，并止付所有未支付部分。追索扣回制度同样适用于已离职或退休的职业经理人。</w:t>
      </w:r>
    </w:p>
    <w:p>
      <w:pPr>
        <w:pStyle w:val="7"/>
        <w:widowControl/>
        <w:spacing w:beforeAutospacing="0" w:afterAutospacing="0" w:line="560" w:lineRule="exact"/>
        <w:ind w:firstLine="672" w:firstLineChars="200"/>
        <w:jc w:val="both"/>
        <w:rPr>
          <w:rStyle w:val="11"/>
          <w:rFonts w:hint="default"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pPr>
      <w:r>
        <w:rPr>
          <w:rStyle w:val="11"/>
          <w:rFonts w:hint="eastAsia" w:ascii="楷体" w:hAnsi="楷体" w:eastAsia="楷体" w:cs="仿宋_GB2312"/>
          <w:b w:val="0"/>
          <w:color w:val="000000" w:themeColor="text1"/>
          <w:spacing w:val="8"/>
          <w:sz w:val="32"/>
          <w:szCs w:val="32"/>
          <w:highlight w:val="none"/>
          <w:shd w:val="clear" w:color="auto" w:fill="FFFFFF"/>
          <w14:textFill>
            <w14:solidFill>
              <w14:schemeClr w14:val="tx1"/>
            </w14:solidFill>
          </w14:textFill>
        </w:rPr>
        <w:t>（</w:t>
      </w:r>
      <w:r>
        <w:rPr>
          <w:rStyle w:val="11"/>
          <w:rFonts w:hint="eastAsia"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t>二</w:t>
      </w:r>
      <w:r>
        <w:rPr>
          <w:rStyle w:val="11"/>
          <w:rFonts w:hint="eastAsia" w:ascii="楷体" w:hAnsi="楷体" w:eastAsia="楷体" w:cs="仿宋_GB2312"/>
          <w:b w:val="0"/>
          <w:color w:val="000000" w:themeColor="text1"/>
          <w:spacing w:val="8"/>
          <w:sz w:val="32"/>
          <w:szCs w:val="32"/>
          <w:highlight w:val="none"/>
          <w:shd w:val="clear" w:color="auto" w:fill="FFFFFF"/>
          <w14:textFill>
            <w14:solidFill>
              <w14:schemeClr w14:val="tx1"/>
            </w14:solidFill>
          </w14:textFill>
        </w:rPr>
        <w:t>）</w:t>
      </w:r>
      <w:r>
        <w:rPr>
          <w:rStyle w:val="11"/>
          <w:rFonts w:hint="eastAsia"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t>履职</w:t>
      </w:r>
      <w:r>
        <w:rPr>
          <w:rStyle w:val="11"/>
          <w:rFonts w:hint="eastAsia" w:ascii="楷体" w:hAnsi="楷体" w:eastAsia="楷体" w:cs="仿宋_GB2312"/>
          <w:b w:val="0"/>
          <w:color w:val="000000" w:themeColor="text1"/>
          <w:spacing w:val="8"/>
          <w:sz w:val="32"/>
          <w:szCs w:val="32"/>
          <w:highlight w:val="none"/>
          <w:shd w:val="clear" w:color="auto" w:fill="FFFFFF"/>
          <w14:textFill>
            <w14:solidFill>
              <w14:schemeClr w14:val="tx1"/>
            </w14:solidFill>
          </w14:textFill>
        </w:rPr>
        <w:t>待遇</w:t>
      </w:r>
      <w:r>
        <w:rPr>
          <w:rStyle w:val="11"/>
          <w:rFonts w:hint="eastAsia" w:ascii="楷体" w:hAnsi="楷体" w:eastAsia="楷体" w:cs="仿宋_GB2312"/>
          <w:b w:val="0"/>
          <w:color w:val="000000" w:themeColor="text1"/>
          <w:spacing w:val="8"/>
          <w:sz w:val="32"/>
          <w:szCs w:val="32"/>
          <w:highlight w:val="none"/>
          <w:shd w:val="clear" w:color="auto" w:fill="FFFFFF"/>
          <w:lang w:eastAsia="zh-CN"/>
          <w14:textFill>
            <w14:solidFill>
              <w14:schemeClr w14:val="tx1"/>
            </w14:solidFill>
          </w14:textFill>
        </w:rPr>
        <w:t>、</w:t>
      </w:r>
      <w:r>
        <w:rPr>
          <w:rStyle w:val="11"/>
          <w:rFonts w:hint="eastAsia" w:ascii="楷体" w:hAnsi="楷体" w:eastAsia="楷体" w:cs="仿宋_GB2312"/>
          <w:b w:val="0"/>
          <w:color w:val="000000" w:themeColor="text1"/>
          <w:spacing w:val="8"/>
          <w:sz w:val="32"/>
          <w:szCs w:val="32"/>
          <w:highlight w:val="none"/>
          <w:shd w:val="clear" w:color="auto" w:fill="FFFFFF"/>
          <w:lang w:val="en-US" w:eastAsia="zh-CN"/>
          <w14:textFill>
            <w14:solidFill>
              <w14:schemeClr w14:val="tx1"/>
            </w14:solidFill>
          </w14:textFill>
        </w:rPr>
        <w:t>业务支出和福利</w:t>
      </w:r>
    </w:p>
    <w:p>
      <w:pPr>
        <w:pStyle w:val="4"/>
        <w:spacing w:after="0" w:line="56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1.职业经理人履职</w:t>
      </w:r>
      <w:r>
        <w:rPr>
          <w:rFonts w:hint="eastAsia" w:ascii="仿宋" w:hAnsi="仿宋" w:eastAsia="仿宋" w:cs="仿宋"/>
          <w:sz w:val="32"/>
          <w:szCs w:val="32"/>
          <w:highlight w:val="none"/>
        </w:rPr>
        <w:t>待遇</w:t>
      </w:r>
      <w:r>
        <w:rPr>
          <w:rFonts w:hint="eastAsia" w:ascii="仿宋" w:hAnsi="仿宋" w:eastAsia="仿宋" w:cs="仿宋"/>
          <w:sz w:val="32"/>
          <w:szCs w:val="32"/>
          <w:highlight w:val="none"/>
          <w:lang w:val="en-US" w:eastAsia="zh-CN"/>
        </w:rPr>
        <w:t>和业务支出</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val="en-US" w:eastAsia="zh-CN"/>
        </w:rPr>
        <w:t>市属企业相关规定执行。</w:t>
      </w:r>
    </w:p>
    <w:p>
      <w:pPr>
        <w:pStyle w:val="4"/>
        <w:spacing w:after="0" w:line="56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kern w:val="2"/>
          <w:sz w:val="32"/>
          <w:szCs w:val="32"/>
          <w:highlight w:val="none"/>
          <w:lang w:val="en-US" w:eastAsia="zh-CN"/>
        </w:rPr>
        <w:t>职业经理人按照国家有关规定和公司制度享有社保、住房公积金、企业年金、补充医疗保险待遇</w:t>
      </w:r>
      <w:r>
        <w:rPr>
          <w:rFonts w:hint="eastAsia" w:ascii="仿宋" w:hAnsi="仿宋" w:eastAsia="仿宋" w:cs="仿宋"/>
          <w:sz w:val="32"/>
          <w:szCs w:val="32"/>
          <w:highlight w:val="none"/>
        </w:rPr>
        <w:t>。</w:t>
      </w:r>
    </w:p>
    <w:p>
      <w:pPr>
        <w:pStyle w:val="3"/>
        <w:spacing w:line="560" w:lineRule="exact"/>
        <w:ind w:firstLine="640"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、业绩目标</w:t>
      </w:r>
      <w:r>
        <w:rPr>
          <w:rFonts w:hint="eastAsia" w:ascii="黑体" w:hAnsi="黑体" w:eastAsia="黑体"/>
          <w:sz w:val="32"/>
          <w:szCs w:val="32"/>
          <w:highlight w:val="none"/>
          <w:lang w:val="en-US" w:eastAsia="zh-CN"/>
        </w:rPr>
        <w:t>和考核评价</w:t>
      </w:r>
    </w:p>
    <w:p>
      <w:pPr>
        <w:pStyle w:val="3"/>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1.职业经理人考核分为任期试用期考核、年度考核和任期考核。</w:t>
      </w:r>
      <w:r>
        <w:rPr>
          <w:rFonts w:hint="eastAsia" w:ascii="仿宋" w:hAnsi="仿宋" w:eastAsia="仿宋" w:cs="仿宋"/>
          <w:color w:val="000000" w:themeColor="text1"/>
          <w:spacing w:val="8"/>
          <w:kern w:val="0"/>
          <w:sz w:val="32"/>
          <w:szCs w:val="32"/>
          <w:highlight w:val="none"/>
          <w:shd w:val="clear" w:color="auto" w:fill="FFFFFF"/>
          <w:lang w:val="en-US" w:eastAsia="zh-CN" w:bidi="ar"/>
          <w14:textFill>
            <w14:solidFill>
              <w14:schemeClr w14:val="tx1"/>
            </w14:solidFill>
          </w14:textFill>
        </w:rPr>
        <w:t>任期</w:t>
      </w:r>
      <w:r>
        <w:rPr>
          <w:rFonts w:hint="eastAsia" w:ascii="仿宋" w:hAnsi="仿宋" w:eastAsia="仿宋" w:cs="仿宋"/>
          <w:b w:val="0"/>
          <w:bCs w:val="0"/>
          <w:color w:val="auto"/>
          <w:sz w:val="32"/>
          <w:szCs w:val="32"/>
          <w:highlight w:val="none"/>
          <w:lang w:val="en-US" w:eastAsia="zh-CN"/>
        </w:rPr>
        <w:t>试用期考核在试用期满年度审计报告印发后次月由汉江控股组织实施。</w:t>
      </w:r>
      <w:r>
        <w:rPr>
          <w:rFonts w:hint="eastAsia" w:ascii="仿宋" w:hAnsi="仿宋" w:eastAsia="仿宋" w:cs="仿宋"/>
          <w:color w:val="auto"/>
          <w:sz w:val="32"/>
          <w:szCs w:val="32"/>
          <w:highlight w:val="none"/>
          <w:lang w:val="en-US" w:eastAsia="zh-CN"/>
        </w:rPr>
        <w:t>年度考核一般在次年进行。任期经营业绩考核一般结合聘期期满当年年度经营业绩考核一并进行。</w:t>
      </w:r>
    </w:p>
    <w:p>
      <w:pPr>
        <w:pStyle w:val="3"/>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2.试用期考核为胜任及以上等次的，可以继续聘用，考核为不胜任的不再聘用，考核为基本胜任的试用期再延长半年，半年后仍未达到胜任以上的，不再聘用。</w:t>
      </w:r>
    </w:p>
    <w:p>
      <w:pPr>
        <w:pStyle w:val="3"/>
        <w:spacing w:line="560" w:lineRule="exact"/>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3.职业经理人考核考核内容包含经营业绩考核和综合考核评价两个部分。经营业绩考核结果主要运用于核算薪酬兑付金额，综合考核评价结果主要运用于决定是否解聘或任期届满续聘。</w:t>
      </w:r>
    </w:p>
    <w:p>
      <w:pPr>
        <w:pStyle w:val="3"/>
        <w:spacing w:line="560" w:lineRule="exact"/>
        <w:ind w:firstLine="640" w:firstLineChars="200"/>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4.经营业绩考核。</w:t>
      </w:r>
    </w:p>
    <w:p>
      <w:pPr>
        <w:pStyle w:val="3"/>
        <w:numPr>
          <w:ilvl w:val="0"/>
          <w:numId w:val="0"/>
        </w:numPr>
        <w:spacing w:line="560" w:lineRule="exact"/>
        <w:ind w:firstLine="640" w:firstLineChars="200"/>
        <w:rPr>
          <w:rFonts w:hint="eastAsia" w:ascii="仿宋" w:hAnsi="仿宋" w:eastAsia="仿宋" w:cs="仿宋"/>
          <w:color w:val="auto"/>
          <w:sz w:val="32"/>
          <w:szCs w:val="32"/>
          <w:highlight w:val="yellow"/>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经营业绩考核，分为年度经营业绩考核和任期经营业绩考核，由董事会组织实施。经营业绩考核指标包括但不限于：利润总额、净利润、营业收入、对外投资额等。具体结合企业发展目标，根据岗位工作分工来确定。</w:t>
      </w:r>
      <w:r>
        <w:rPr>
          <w:rFonts w:hint="eastAsia" w:ascii="仿宋" w:hAnsi="仿宋" w:eastAsia="仿宋" w:cs="仿宋"/>
          <w:color w:val="auto"/>
          <w:sz w:val="32"/>
          <w:szCs w:val="32"/>
          <w:highlight w:val="yellow"/>
          <w:lang w:val="en-US" w:eastAsia="zh-CN"/>
        </w:rPr>
        <w:t>具体经营业绩考核考核指标见附件2和附件3。</w:t>
      </w:r>
    </w:p>
    <w:p>
      <w:pPr>
        <w:pStyle w:val="3"/>
        <w:numPr>
          <w:ilvl w:val="0"/>
          <w:numId w:val="0"/>
        </w:num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考核期末，公司董事会依据经审计的企业财务决算数据等，对职业经理人的经营业绩完成情况进行考核，形成考核意见。经营业绩考核满分为100分，考核总分为各项指标得分的总和。经营业绩考核总分直接作为综合考核评价中“工作实绩”指标的打分依据。公式：“工作实绩”指标得分= 经营业绩考核总分*60%。</w:t>
      </w:r>
    </w:p>
    <w:p>
      <w:pPr>
        <w:pStyle w:val="3"/>
        <w:numPr>
          <w:ilvl w:val="0"/>
          <w:numId w:val="0"/>
        </w:num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（3）薪酬发放金额=薪酬基数*发放比例*经营业绩考核总分/100。年度（任期）经营业绩考核总得分低于100分的，绩效年薪（任期激励）做降薪处理。年度经营业绩考核总分</w:t>
      </w:r>
      <w:r>
        <w:rPr>
          <w:rFonts w:hint="eastAsia" w:ascii="仿宋" w:hAnsi="仿宋" w:eastAsia="仿宋" w:cs="仿宋"/>
          <w:color w:val="auto"/>
          <w:sz w:val="32"/>
          <w:szCs w:val="32"/>
          <w:highlight w:val="yellow"/>
          <w:lang w:val="en-US" w:eastAsia="zh-CN"/>
        </w:rPr>
        <w:t>低于85分的，</w:t>
      </w:r>
      <w:r>
        <w:rPr>
          <w:rFonts w:hint="eastAsia" w:ascii="仿宋" w:hAnsi="仿宋" w:eastAsia="仿宋" w:cs="仿宋"/>
          <w:color w:val="auto"/>
          <w:sz w:val="32"/>
          <w:szCs w:val="32"/>
          <w:highlight w:val="none"/>
          <w:lang w:val="en-US" w:eastAsia="zh-CN"/>
        </w:rPr>
        <w:t>予以解聘，不得发放当年度绩效年薪。任期经营业绩考核总分低于90分的，予以解聘，不得发放任期激励。详情见表1薪酬发放表。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表1：薪酬发放表</w:t>
      </w:r>
    </w:p>
    <w:tbl>
      <w:tblPr>
        <w:tblStyle w:val="9"/>
        <w:tblpPr w:leftFromText="180" w:rightFromText="180" w:vertAnchor="text" w:horzAnchor="page" w:tblpX="1307" w:tblpY="384"/>
        <w:tblOverlap w:val="never"/>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10"/>
        <w:gridCol w:w="809"/>
        <w:gridCol w:w="773"/>
        <w:gridCol w:w="1419"/>
        <w:gridCol w:w="2003"/>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8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经营业绩考核总分</w:t>
            </w:r>
          </w:p>
        </w:tc>
        <w:tc>
          <w:tcPr>
            <w:tcW w:w="809"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发放基数</w:t>
            </w: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发放比例</w:t>
            </w:r>
          </w:p>
        </w:tc>
        <w:tc>
          <w:tcPr>
            <w:tcW w:w="1419"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发放系数</w:t>
            </w: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发放额（万元）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2"/>
                <w:szCs w:val="22"/>
                <w:highlight w:val="none"/>
                <w:lang w:val="en-US" w:eastAsia="zh-CN"/>
              </w:rPr>
              <w:t>（发放基数*发放比例*发放系数）</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发放区间X（万元）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80" w:type="dxa"/>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绩效年薪</w:t>
            </w: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100分（含）以上</w:t>
            </w:r>
          </w:p>
        </w:tc>
        <w:tc>
          <w:tcPr>
            <w:tcW w:w="809" w:type="dxa"/>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26万元/年</w:t>
            </w: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w:t>
            </w:r>
          </w:p>
        </w:tc>
        <w:tc>
          <w:tcPr>
            <w:tcW w:w="1419" w:type="dxa"/>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w:t>
            </w: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26</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80"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95分（含）到100分（不含）</w:t>
            </w:r>
          </w:p>
        </w:tc>
        <w:tc>
          <w:tcPr>
            <w:tcW w:w="80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90%</w:t>
            </w:r>
          </w:p>
        </w:tc>
        <w:tc>
          <w:tcPr>
            <w:tcW w:w="141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23.4*</w:t>
            </w:r>
            <w:r>
              <w:rPr>
                <w:rFonts w:hint="eastAsia" w:ascii="仿宋" w:hAnsi="仿宋" w:eastAsia="仿宋" w:cs="仿宋"/>
                <w:color w:val="auto"/>
                <w:sz w:val="24"/>
                <w:szCs w:val="24"/>
                <w:highlight w:val="none"/>
                <w:lang w:val="en-US" w:eastAsia="zh-CN"/>
              </w:rPr>
              <w:t>年度经营业绩考核总分/100</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22.23≤X＜23.4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680"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90分（含）到95分（不含）</w:t>
            </w:r>
          </w:p>
        </w:tc>
        <w:tc>
          <w:tcPr>
            <w:tcW w:w="80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80%</w:t>
            </w:r>
          </w:p>
        </w:tc>
        <w:tc>
          <w:tcPr>
            <w:tcW w:w="141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20.8*</w:t>
            </w:r>
            <w:r>
              <w:rPr>
                <w:rFonts w:hint="eastAsia" w:ascii="仿宋" w:hAnsi="仿宋" w:eastAsia="仿宋" w:cs="仿宋"/>
                <w:color w:val="auto"/>
                <w:sz w:val="24"/>
                <w:szCs w:val="24"/>
                <w:highlight w:val="none"/>
                <w:lang w:val="en-US" w:eastAsia="zh-CN"/>
              </w:rPr>
              <w:t>年度经营业绩考核总分/100</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18.72≤X＜19.76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yellow"/>
                <w:vertAlign w:val="baseline"/>
                <w:lang w:val="en-US" w:eastAsia="zh-CN"/>
              </w:rPr>
            </w:pPr>
            <w:r>
              <w:rPr>
                <w:rFonts w:hint="eastAsia" w:ascii="仿宋" w:hAnsi="仿宋" w:eastAsia="仿宋" w:cs="仿宋"/>
                <w:sz w:val="24"/>
                <w:szCs w:val="24"/>
                <w:highlight w:val="yellow"/>
                <w:lang w:val="en-US" w:eastAsia="zh-CN"/>
              </w:rPr>
              <w:t>85分（含）到90分（不含）</w:t>
            </w:r>
          </w:p>
        </w:tc>
        <w:tc>
          <w:tcPr>
            <w:tcW w:w="80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70%</w:t>
            </w:r>
          </w:p>
        </w:tc>
        <w:tc>
          <w:tcPr>
            <w:tcW w:w="141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18.2*</w:t>
            </w:r>
            <w:r>
              <w:rPr>
                <w:rFonts w:hint="eastAsia" w:ascii="仿宋" w:hAnsi="仿宋" w:eastAsia="仿宋" w:cs="仿宋"/>
                <w:color w:val="auto"/>
                <w:sz w:val="24"/>
                <w:szCs w:val="24"/>
                <w:highlight w:val="none"/>
                <w:lang w:val="en-US" w:eastAsia="zh-CN"/>
              </w:rPr>
              <w:t>年度经营业绩考核总分/100</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yellow"/>
                <w:vertAlign w:val="baseline"/>
                <w:lang w:val="en-US" w:eastAsia="zh-CN"/>
              </w:rPr>
              <w:t>15.47</w:t>
            </w:r>
            <w:r>
              <w:rPr>
                <w:rFonts w:hint="eastAsia" w:ascii="仿宋" w:hAnsi="仿宋" w:eastAsia="仿宋" w:cs="仿宋"/>
                <w:color w:val="auto"/>
                <w:sz w:val="24"/>
                <w:szCs w:val="24"/>
                <w:highlight w:val="none"/>
                <w:vertAlign w:val="baseline"/>
                <w:lang w:val="en-US" w:eastAsia="zh-CN"/>
              </w:rPr>
              <w:t>≤X＜16.38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0"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highlight w:val="yellow"/>
                <w:lang w:val="en-US" w:eastAsia="zh-CN"/>
              </w:rPr>
              <w:t>85分（不含）以下</w:t>
            </w:r>
          </w:p>
        </w:tc>
        <w:tc>
          <w:tcPr>
            <w:tcW w:w="7745" w:type="dxa"/>
            <w:gridSpan w:val="5"/>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予以解聘，不得发放当年度绩效年薪。（无需再进行年度综合考评）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0" w:type="dxa"/>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任期激励</w:t>
            </w: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100分（含）以上</w:t>
            </w:r>
          </w:p>
        </w:tc>
        <w:tc>
          <w:tcPr>
            <w:tcW w:w="809" w:type="dxa"/>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30万元/任期</w:t>
            </w: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100%</w:t>
            </w:r>
          </w:p>
        </w:tc>
        <w:tc>
          <w:tcPr>
            <w:tcW w:w="1419" w:type="dxa"/>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任期经营业绩考核总分/100</w:t>
            </w: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30</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0"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none"/>
                <w:vertAlign w:val="baseline"/>
                <w:lang w:val="en-US" w:eastAsia="zh-CN"/>
              </w:rPr>
            </w:pP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90分（含）到100分（不含）</w:t>
            </w:r>
          </w:p>
        </w:tc>
        <w:tc>
          <w:tcPr>
            <w:tcW w:w="80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highlight w:val="none"/>
                <w:lang w:val="en-US" w:eastAsia="zh-CN"/>
              </w:rPr>
            </w:pPr>
          </w:p>
        </w:tc>
        <w:tc>
          <w:tcPr>
            <w:tcW w:w="77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80%</w:t>
            </w:r>
          </w:p>
        </w:tc>
        <w:tc>
          <w:tcPr>
            <w:tcW w:w="1419"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2003"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24*任期</w:t>
            </w:r>
            <w:r>
              <w:rPr>
                <w:rFonts w:hint="eastAsia" w:ascii="仿宋" w:hAnsi="仿宋" w:eastAsia="仿宋" w:cs="仿宋"/>
                <w:color w:val="auto"/>
                <w:sz w:val="24"/>
                <w:szCs w:val="24"/>
                <w:highlight w:val="none"/>
                <w:lang w:val="en-US" w:eastAsia="zh-CN"/>
              </w:rPr>
              <w:t>经营业绩考核总分/100</w:t>
            </w:r>
          </w:p>
        </w:tc>
        <w:tc>
          <w:tcPr>
            <w:tcW w:w="2741"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21.6≤X＜24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80" w:type="dxa"/>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w:t>
            </w:r>
          </w:p>
        </w:tc>
        <w:tc>
          <w:tcPr>
            <w:tcW w:w="1210"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lang w:val="en-US" w:eastAsia="zh-CN"/>
              </w:rPr>
              <w:t>90分（不含）以下</w:t>
            </w:r>
          </w:p>
        </w:tc>
        <w:tc>
          <w:tcPr>
            <w:tcW w:w="7745" w:type="dxa"/>
            <w:gridSpan w:val="5"/>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予以解聘，不得发放任期激励。（无需再进行任期综合考评）</w:t>
            </w:r>
          </w:p>
        </w:tc>
      </w:tr>
    </w:tbl>
    <w:p>
      <w:pPr>
        <w:pStyle w:val="3"/>
        <w:numPr>
          <w:ilvl w:val="0"/>
          <w:numId w:val="0"/>
        </w:num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5.综合考核评价</w:t>
      </w:r>
    </w:p>
    <w:p>
      <w:pPr>
        <w:pStyle w:val="3"/>
        <w:numPr>
          <w:ilvl w:val="0"/>
          <w:numId w:val="0"/>
        </w:numPr>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（1）综合考核评价，分为年度综合考核评价和任期综合考核评价，由汉江控股党委组织实施，重点考核评价政治表现、能力素质、工作实绩、廉洁从业和履行“一岗双责”等情况。</w:t>
      </w:r>
      <w:r>
        <w:rPr>
          <w:rFonts w:hint="eastAsia" w:ascii="仿宋" w:hAnsi="仿宋" w:eastAsia="仿宋" w:cs="仿宋"/>
          <w:color w:val="000000" w:themeColor="text1"/>
          <w:sz w:val="32"/>
          <w:szCs w:val="32"/>
          <w:highlight w:val="yellow"/>
          <w:lang w:val="en-US" w:eastAsia="zh-CN"/>
          <w14:textFill>
            <w14:solidFill>
              <w14:schemeClr w14:val="tx1"/>
            </w14:solidFill>
          </w14:textFill>
        </w:rPr>
        <w:t>综合考核评价</w:t>
      </w:r>
      <w:r>
        <w:rPr>
          <w:rFonts w:hint="eastAsia" w:ascii="仿宋" w:hAnsi="仿宋" w:eastAsia="仿宋" w:cs="仿宋"/>
          <w:color w:val="auto"/>
          <w:sz w:val="32"/>
          <w:szCs w:val="32"/>
          <w:highlight w:val="yellow"/>
          <w:lang w:val="en-US" w:eastAsia="zh-CN"/>
        </w:rPr>
        <w:t>具体指标见附件4。</w:t>
      </w:r>
      <w:r>
        <w:rPr>
          <w:rFonts w:hint="eastAsia" w:ascii="仿宋" w:hAnsi="仿宋" w:eastAsia="仿宋" w:cs="仿宋"/>
          <w:color w:val="000000" w:themeColor="text1"/>
          <w:sz w:val="32"/>
          <w:szCs w:val="32"/>
          <w:highlight w:val="none"/>
          <w:lang w:val="en-US" w:eastAsia="zh-CN"/>
          <w14:textFill>
            <w14:solidFill>
              <w14:schemeClr w14:val="tx1"/>
            </w14:solidFill>
          </w14:textFill>
        </w:rPr>
        <w:t>综合</w:t>
      </w:r>
      <w:r>
        <w:rPr>
          <w:rFonts w:hint="eastAsia" w:ascii="仿宋" w:hAnsi="仿宋" w:eastAsia="仿宋" w:cs="仿宋"/>
          <w:color w:val="000000" w:themeColor="text1"/>
          <w:sz w:val="32"/>
          <w:szCs w:val="32"/>
          <w:highlight w:val="none"/>
          <w14:textFill>
            <w14:solidFill>
              <w14:schemeClr w14:val="tx1"/>
            </w14:solidFill>
          </w14:textFill>
        </w:rPr>
        <w:t>考核</w:t>
      </w:r>
      <w:r>
        <w:rPr>
          <w:rFonts w:hint="eastAsia" w:ascii="仿宋" w:hAnsi="仿宋" w:eastAsia="仿宋" w:cs="仿宋"/>
          <w:color w:val="000000" w:themeColor="text1"/>
          <w:sz w:val="32"/>
          <w:szCs w:val="32"/>
          <w:highlight w:val="none"/>
          <w:lang w:val="en-US" w:eastAsia="zh-CN"/>
          <w14:textFill>
            <w14:solidFill>
              <w14:schemeClr w14:val="tx1"/>
            </w14:solidFill>
          </w14:textFill>
        </w:rPr>
        <w:t>结果</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为</w:t>
      </w:r>
      <w:r>
        <w:rPr>
          <w:rFonts w:hint="eastAsia" w:ascii="仿宋" w:hAnsi="仿宋" w:eastAsia="仿宋" w:cs="仿宋"/>
          <w:color w:val="000000" w:themeColor="text1"/>
          <w:sz w:val="32"/>
          <w:szCs w:val="32"/>
          <w:highlight w:val="none"/>
          <w14:textFill>
            <w14:solidFill>
              <w14:schemeClr w14:val="tx1"/>
            </w14:solidFill>
          </w14:textFill>
        </w:rPr>
        <w:t>优秀、胜任、基本胜任、不胜任四个等次。</w:t>
      </w:r>
    </w:p>
    <w:tbl>
      <w:tblPr>
        <w:tblStyle w:val="8"/>
        <w:tblW w:w="8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1744"/>
        <w:gridCol w:w="1669"/>
        <w:gridCol w:w="1987"/>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评价结果</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优秀</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胜任</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基本胜任</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不胜任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综合考核</w:t>
            </w:r>
          </w:p>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总分</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分数≥ 95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85≤分数＜95</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75≤分数＜85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分数＜75</w:t>
            </w:r>
          </w:p>
        </w:tc>
      </w:tr>
    </w:tbl>
    <w:p>
      <w:pPr>
        <w:pStyle w:val="3"/>
        <w:numPr>
          <w:ilvl w:val="0"/>
          <w:numId w:val="0"/>
        </w:num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综合</w:t>
      </w:r>
      <w:r>
        <w:rPr>
          <w:rFonts w:hint="eastAsia" w:ascii="仿宋" w:hAnsi="仿宋" w:eastAsia="仿宋" w:cs="仿宋"/>
          <w:color w:val="auto"/>
          <w:sz w:val="32"/>
          <w:szCs w:val="32"/>
          <w:highlight w:val="none"/>
        </w:rPr>
        <w:t>考核</w:t>
      </w:r>
      <w:r>
        <w:rPr>
          <w:rFonts w:hint="eastAsia" w:ascii="仿宋" w:hAnsi="仿宋" w:eastAsia="仿宋" w:cs="仿宋"/>
          <w:color w:val="auto"/>
          <w:sz w:val="32"/>
          <w:szCs w:val="32"/>
          <w:highlight w:val="none"/>
          <w:lang w:val="en-US" w:eastAsia="zh-CN"/>
        </w:rPr>
        <w:t>评价</w:t>
      </w:r>
      <w:r>
        <w:rPr>
          <w:rFonts w:hint="eastAsia" w:ascii="仿宋" w:hAnsi="仿宋" w:eastAsia="仿宋" w:cs="仿宋"/>
          <w:color w:val="auto"/>
          <w:sz w:val="32"/>
          <w:szCs w:val="32"/>
          <w:highlight w:val="none"/>
        </w:rPr>
        <w:t>结果为胜任及以上的，可继续聘用，考核结果为基本胜任的，进行诫勉谈话，考核结果为不胜任或连续两年考核结果均为基本胜任的，解除聘用。</w:t>
      </w:r>
    </w:p>
    <w:p>
      <w:pPr>
        <w:pStyle w:val="3"/>
        <w:numPr>
          <w:ilvl w:val="0"/>
          <w:numId w:val="0"/>
        </w:num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（3）任期综合考核评价结果为胜任及以上的，可继续聘用，</w:t>
      </w:r>
      <w:r>
        <w:rPr>
          <w:rFonts w:hint="eastAsia" w:ascii="仿宋" w:hAnsi="仿宋" w:eastAsia="仿宋" w:cs="仿宋"/>
          <w:color w:val="auto"/>
          <w:sz w:val="32"/>
          <w:szCs w:val="32"/>
          <w:highlight w:val="none"/>
        </w:rPr>
        <w:t>考核结果为</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基本胜任的，进行诫勉谈话，</w:t>
      </w:r>
      <w:r>
        <w:rPr>
          <w:rFonts w:hint="eastAsia" w:ascii="仿宋" w:hAnsi="仿宋" w:eastAsia="仿宋" w:cs="仿宋"/>
          <w:color w:val="auto"/>
          <w:sz w:val="32"/>
          <w:szCs w:val="32"/>
          <w:highlight w:val="none"/>
        </w:rPr>
        <w:t>核结果为</w:t>
      </w:r>
      <w:r>
        <w:rPr>
          <w:rFonts w:hint="eastAsia" w:ascii="仿宋" w:hAnsi="仿宋" w:eastAsia="仿宋" w:cs="仿宋"/>
          <w:color w:val="000000" w:themeColor="text1"/>
          <w:sz w:val="32"/>
          <w:szCs w:val="32"/>
          <w:highlight w:val="none"/>
          <w:lang w:val="en-US" w:eastAsia="zh-CN"/>
          <w14:textFill>
            <w14:solidFill>
              <w14:schemeClr w14:val="tx1"/>
            </w14:solidFill>
          </w14:textFill>
        </w:rPr>
        <w:t>不胜任或</w:t>
      </w:r>
      <w:r>
        <w:rPr>
          <w:rFonts w:hint="eastAsia" w:ascii="仿宋" w:hAnsi="仿宋" w:eastAsia="仿宋" w:cs="仿宋"/>
          <w:color w:val="000000" w:themeColor="text1"/>
          <w:sz w:val="32"/>
          <w:szCs w:val="32"/>
          <w:highlight w:val="none"/>
          <w14:textFill>
            <w14:solidFill>
              <w14:schemeClr w14:val="tx1"/>
            </w14:solidFill>
          </w14:textFill>
        </w:rPr>
        <w:t>连续两个任期</w:t>
      </w:r>
      <w:r>
        <w:rPr>
          <w:rFonts w:hint="eastAsia" w:ascii="仿宋" w:hAnsi="仿宋" w:eastAsia="仿宋" w:cs="仿宋"/>
          <w:color w:val="auto"/>
          <w:sz w:val="32"/>
          <w:szCs w:val="32"/>
          <w:highlight w:val="none"/>
        </w:rPr>
        <w:t>考核结果均</w:t>
      </w:r>
      <w:r>
        <w:rPr>
          <w:rFonts w:hint="eastAsia" w:ascii="仿宋" w:hAnsi="仿宋" w:eastAsia="仿宋" w:cs="仿宋"/>
          <w:color w:val="auto"/>
          <w:sz w:val="32"/>
          <w:szCs w:val="32"/>
          <w:highlight w:val="none"/>
          <w:lang w:eastAsia="zh-CN"/>
        </w:rPr>
        <w:t>为</w:t>
      </w:r>
      <w:r>
        <w:rPr>
          <w:rFonts w:hint="eastAsia" w:ascii="仿宋" w:hAnsi="仿宋" w:eastAsia="仿宋" w:cs="仿宋"/>
          <w:color w:val="000000" w:themeColor="text1"/>
          <w:sz w:val="32"/>
          <w:szCs w:val="32"/>
          <w:highlight w:val="none"/>
          <w14:textFill>
            <w14:solidFill>
              <w14:schemeClr w14:val="tx1"/>
            </w14:solidFill>
          </w14:textFill>
        </w:rPr>
        <w:t>基本胜任的</w:t>
      </w:r>
      <w:r>
        <w:rPr>
          <w:rFonts w:hint="eastAsia" w:ascii="仿宋" w:hAnsi="仿宋" w:eastAsia="仿宋" w:cs="仿宋"/>
          <w:color w:val="000000" w:themeColor="text1"/>
          <w:sz w:val="32"/>
          <w:szCs w:val="32"/>
          <w:highlight w:val="none"/>
          <w:lang w:val="en-US" w:eastAsia="zh-CN"/>
          <w14:textFill>
            <w14:solidFill>
              <w14:schemeClr w14:val="tx1"/>
            </w14:solidFill>
          </w14:textFill>
        </w:rPr>
        <w:t>，解除聘用</w:t>
      </w:r>
      <w:r>
        <w:rPr>
          <w:rFonts w:hint="eastAsia" w:ascii="仿宋" w:hAnsi="仿宋" w:eastAsia="仿宋" w:cs="仿宋"/>
          <w:color w:val="000000" w:themeColor="text1"/>
          <w:sz w:val="32"/>
          <w:szCs w:val="32"/>
          <w:highlight w:val="none"/>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表2：年度（任期）考核内容设置和结果运用表</w:t>
      </w:r>
    </w:p>
    <w:tbl>
      <w:tblPr>
        <w:tblStyle w:val="9"/>
        <w:tblW w:w="9353"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66"/>
        <w:gridCol w:w="1386"/>
        <w:gridCol w:w="1290"/>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27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考核内容</w:t>
            </w:r>
          </w:p>
        </w:tc>
        <w:tc>
          <w:tcPr>
            <w:tcW w:w="156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指标设置</w:t>
            </w:r>
          </w:p>
        </w:tc>
        <w:tc>
          <w:tcPr>
            <w:tcW w:w="13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考核结果</w:t>
            </w:r>
          </w:p>
        </w:tc>
        <w:tc>
          <w:tcPr>
            <w:tcW w:w="1290"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结果运用</w:t>
            </w:r>
          </w:p>
        </w:tc>
        <w:tc>
          <w:tcPr>
            <w:tcW w:w="383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运用规则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27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年度（任期）经营业绩考核</w:t>
            </w:r>
          </w:p>
        </w:tc>
        <w:tc>
          <w:tcPr>
            <w:tcW w:w="156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包括但不限于：利润总额、净利润、营业收入、对外投资额等</w:t>
            </w:r>
          </w:p>
        </w:tc>
        <w:tc>
          <w:tcPr>
            <w:tcW w:w="13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按照指标完成比例打分，满分100分。</w:t>
            </w:r>
          </w:p>
        </w:tc>
        <w:tc>
          <w:tcPr>
            <w:tcW w:w="1290"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核算绩效年薪（任期激励），决定是否解聘</w:t>
            </w:r>
          </w:p>
        </w:tc>
        <w:tc>
          <w:tcPr>
            <w:tcW w:w="383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薪酬发放详见表1薪酬发放表，年度得分</w:t>
            </w:r>
            <w:r>
              <w:rPr>
                <w:rFonts w:hint="eastAsia" w:ascii="仿宋" w:hAnsi="仿宋" w:eastAsia="仿宋" w:cs="仿宋"/>
                <w:b w:val="0"/>
                <w:bCs w:val="0"/>
                <w:color w:val="auto"/>
                <w:sz w:val="24"/>
                <w:szCs w:val="24"/>
                <w:highlight w:val="yellow"/>
                <w:vertAlign w:val="baseline"/>
                <w:lang w:val="en-US" w:eastAsia="zh-CN"/>
              </w:rPr>
              <w:t>85分</w:t>
            </w:r>
            <w:r>
              <w:rPr>
                <w:rFonts w:hint="eastAsia" w:ascii="仿宋" w:hAnsi="仿宋" w:eastAsia="仿宋" w:cs="仿宋"/>
                <w:b w:val="0"/>
                <w:bCs w:val="0"/>
                <w:color w:val="auto"/>
                <w:sz w:val="24"/>
                <w:szCs w:val="24"/>
                <w:highlight w:val="none"/>
                <w:vertAlign w:val="baseline"/>
                <w:lang w:val="en-US" w:eastAsia="zh-CN"/>
              </w:rPr>
              <w:t>（不含）以下，解除聘用，予以解聘，不得发放当年度绩效年薪（无需再进行年度综合考评）。任期得分90（不含）以下的，予以解聘，不得发放任期激励（无需再进行任期综合考评）。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7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年度（任期）综合考核评价</w:t>
            </w:r>
          </w:p>
        </w:tc>
        <w:tc>
          <w:tcPr>
            <w:tcW w:w="156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重点考核评价政治表现、能力素质、工作实绩（占比60%）、廉洁从业和履行“一岗双责”等情况</w:t>
            </w:r>
          </w:p>
        </w:tc>
        <w:tc>
          <w:tcPr>
            <w:tcW w:w="13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分为优秀、胜任、基本胜任、不胜任四个等次</w:t>
            </w:r>
          </w:p>
        </w:tc>
        <w:tc>
          <w:tcPr>
            <w:tcW w:w="1290"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决定是否解聘</w:t>
            </w:r>
          </w:p>
        </w:tc>
        <w:tc>
          <w:tcPr>
            <w:tcW w:w="383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胜任及以上的，可继续聘用；基本胜任的，进行诫勉谈话；不胜任或连续两年（或两个任期）基本胜任的，解除聘用。年度综合考核评价结果为不胜任的，不得领取绩效年薪，已预发的部分予以退回。任期考核不胜任的，解除聘用，不得领取任期激励。</w:t>
            </w:r>
          </w:p>
        </w:tc>
      </w:tr>
    </w:tbl>
    <w:p>
      <w:pPr>
        <w:pStyle w:val="3"/>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、退出规定</w:t>
      </w:r>
    </w:p>
    <w:p>
      <w:pPr>
        <w:pStyle w:val="3"/>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职业经理人有下列情况的，应当解除聘任关系和劳动关系：</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1.经营业绩考核</w:t>
      </w:r>
      <w:r>
        <w:rPr>
          <w:rFonts w:hint="eastAsia" w:ascii="仿宋" w:hAnsi="仿宋" w:eastAsia="仿宋" w:cs="仿宋"/>
          <w:color w:val="000000" w:themeColor="text1"/>
          <w:sz w:val="32"/>
          <w:szCs w:val="32"/>
          <w:highlight w:val="none"/>
          <w:lang w:val="en-US" w:eastAsia="zh-CN"/>
          <w14:textFill>
            <w14:solidFill>
              <w14:schemeClr w14:val="tx1"/>
            </w14:solidFill>
          </w14:textFill>
        </w:rPr>
        <w:t>不达标的。（</w:t>
      </w:r>
      <w:r>
        <w:rPr>
          <w:rFonts w:hint="eastAsia" w:ascii="仿宋" w:hAnsi="仿宋" w:eastAsia="仿宋" w:cs="仿宋"/>
          <w:color w:val="auto"/>
          <w:sz w:val="32"/>
          <w:szCs w:val="32"/>
          <w:highlight w:val="none"/>
          <w:lang w:val="en-US" w:eastAsia="zh-CN"/>
        </w:rPr>
        <w:t>年度经营业绩考核总分低</w:t>
      </w:r>
      <w:r>
        <w:rPr>
          <w:rFonts w:hint="eastAsia" w:ascii="仿宋" w:hAnsi="仿宋" w:eastAsia="仿宋" w:cs="仿宋"/>
          <w:color w:val="auto"/>
          <w:sz w:val="32"/>
          <w:szCs w:val="32"/>
          <w:highlight w:val="yellow"/>
          <w:lang w:val="en-US" w:eastAsia="zh-CN"/>
        </w:rPr>
        <w:t>于85分视为不达</w:t>
      </w:r>
      <w:r>
        <w:rPr>
          <w:rFonts w:hint="eastAsia" w:ascii="仿宋" w:hAnsi="仿宋" w:eastAsia="仿宋" w:cs="仿宋"/>
          <w:color w:val="auto"/>
          <w:sz w:val="32"/>
          <w:szCs w:val="32"/>
          <w:highlight w:val="none"/>
          <w:lang w:val="en-US" w:eastAsia="zh-CN"/>
        </w:rPr>
        <w:t>标，任期经营业绩考核总分低于90分视为不达标）</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3"/>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年度综合</w:t>
      </w:r>
      <w:r>
        <w:rPr>
          <w:rFonts w:hint="eastAsia" w:ascii="仿宋" w:hAnsi="仿宋" w:eastAsia="仿宋" w:cs="仿宋"/>
          <w:color w:val="auto"/>
          <w:sz w:val="32"/>
          <w:szCs w:val="32"/>
          <w:highlight w:val="none"/>
        </w:rPr>
        <w:t>考核结果为不胜任或连续两年</w:t>
      </w:r>
      <w:r>
        <w:rPr>
          <w:rFonts w:hint="eastAsia" w:ascii="仿宋" w:hAnsi="仿宋" w:eastAsia="仿宋" w:cs="仿宋"/>
          <w:color w:val="auto"/>
          <w:sz w:val="32"/>
          <w:szCs w:val="32"/>
          <w:highlight w:val="none"/>
          <w:lang w:val="en-US" w:eastAsia="zh-CN"/>
        </w:rPr>
        <w:t>年度综合</w:t>
      </w:r>
      <w:r>
        <w:rPr>
          <w:rFonts w:hint="eastAsia" w:ascii="仿宋" w:hAnsi="仿宋" w:eastAsia="仿宋" w:cs="仿宋"/>
          <w:color w:val="auto"/>
          <w:sz w:val="32"/>
          <w:szCs w:val="32"/>
          <w:highlight w:val="none"/>
        </w:rPr>
        <w:t>考核结果均为基本胜任的</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任期综合考核评价结果为不胜任的</w:t>
      </w:r>
      <w:r>
        <w:rPr>
          <w:rFonts w:hint="eastAsia" w:ascii="仿宋" w:hAnsi="仿宋" w:eastAsia="仿宋" w:cs="仿宋"/>
          <w:color w:val="000000" w:themeColor="text1"/>
          <w:sz w:val="32"/>
          <w:szCs w:val="32"/>
          <w:highlight w:val="none"/>
          <w14:textFill>
            <w14:solidFill>
              <w14:schemeClr w14:val="tx1"/>
            </w14:solidFill>
          </w14:textFill>
        </w:rPr>
        <w:t>。</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3.因严重违纪违法、严重违法企业管理制度被追究相关责任的。</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聘任期间有重大失误造成严重损失或者不良后果的。</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5.因健康原因无法正常履行工作职责的。</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6.聘期未满但双方协商一致解除聘任合同或者聘期满不再续聘的。</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7.达到退休年龄界限的。</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8.董事会认定不适宜继续聘任的其他情形。</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职业经理人离任时应当实施离任审计。因个人原因辞职的，应当依据《中华人民共和国劳动合同法》和签订的聘任合同有关条款，提前30天提出辞职申请。未经批准擅自离职、给企业造成损失的，依法依规追究其相应责任。</w:t>
      </w:r>
    </w:p>
    <w:p>
      <w:pPr>
        <w:pStyle w:val="3"/>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于不胜任或者不适宜担任现职的职业经理人，应当解除（终止）聘任关系，不得以任期未满为由继续留任。职业经理人在解除（终止）聘任关系的同时，应当依法解除（终止）劳动关系，不得再担任公司其他岗位职务。</w:t>
      </w:r>
    </w:p>
    <w:p>
      <w:pPr>
        <w:pStyle w:val="3"/>
        <w:spacing w:line="560" w:lineRule="exact"/>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（四）职业经理人聘任期间及退出后，应当按照国家和企业相关规定以及聘任合同约定，承担保守商业秘密和竞业禁止义务。</w:t>
      </w:r>
    </w:p>
    <w:p>
      <w:pPr>
        <w:pStyle w:val="3"/>
        <w:spacing w:line="560"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职业经理人有下列情形之一的，不得提出辞职：</w:t>
      </w:r>
      <w:bookmarkStart w:id="0" w:name="_GoBack"/>
      <w:bookmarkEnd w:id="0"/>
    </w:p>
    <w:p>
      <w:pPr>
        <w:pStyle w:val="3"/>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重要项目或者重要任务尚未完成，且必须由本人继续完成的；</w:t>
      </w:r>
    </w:p>
    <w:p>
      <w:pPr>
        <w:pStyle w:val="3"/>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任期内发生相关责任问题尚未处理完毕的；</w:t>
      </w:r>
    </w:p>
    <w:p>
      <w:pPr>
        <w:pStyle w:val="3"/>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其他原因不能立即辞职的。</w:t>
      </w:r>
    </w:p>
    <w:p>
      <w:pPr>
        <w:rPr>
          <w:rFonts w:hint="default"/>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DNiMzdhNWNlYjg3NTVlYzliNDUwMjUzNTU2ZDAifQ=="/>
  </w:docVars>
  <w:rsids>
    <w:rsidRoot w:val="3E6A3661"/>
    <w:rsid w:val="1DD2442A"/>
    <w:rsid w:val="3E6A3661"/>
    <w:rsid w:val="45C7225E"/>
    <w:rsid w:val="520F4CE9"/>
    <w:rsid w:val="5E8F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560" w:lineRule="exact"/>
      <w:jc w:val="both"/>
    </w:pPr>
    <w:rPr>
      <w:rFonts w:ascii="宋体" w:hAnsi="Times New Roman" w:eastAsia="宋体" w:cs="宋体"/>
      <w:color w:val="000000"/>
      <w:sz w:val="24"/>
      <w:szCs w:val="24"/>
      <w:lang w:val="en-US" w:eastAsia="zh-CN" w:bidi="ar-SA"/>
    </w:rPr>
  </w:style>
  <w:style w:type="paragraph" w:styleId="3">
    <w:name w:val="Body Text"/>
    <w:basedOn w:val="1"/>
    <w:qFormat/>
    <w:uiPriority w:val="1"/>
    <w:rPr>
      <w:rFonts w:ascii="宋体" w:hAnsi="宋体" w:eastAsia="宋体" w:cs="宋体"/>
      <w:sz w:val="28"/>
      <w:szCs w:val="28"/>
    </w:rPr>
  </w:style>
  <w:style w:type="paragraph" w:styleId="4">
    <w:name w:val="Body Text Indent"/>
    <w:basedOn w:val="1"/>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2614</Words>
  <Characters>2750</Characters>
  <Lines>0</Lines>
  <Paragraphs>0</Paragraphs>
  <TotalTime>1</TotalTime>
  <ScaleCrop>false</ScaleCrop>
  <LinksUpToDate>false</LinksUpToDate>
  <CharactersWithSpaces>2755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2023-07-12T04:58:00Z</dcterms:created>
  <dc:creator>徐爽爽</dc:creator>
  <cp:lastModifiedBy>徐爽爽</cp:lastModifiedBy>
  <dcterms:modified xsi:type="dcterms:W3CDTF">2023-07-14T06:28:06Z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258F9C0F484342DFB8035C86FE3C656D_11</vt:lpwstr>
  </property>
</Properties>
</file>